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cs="Times New Roman"/>
          <w:b/>
          <w:bCs/>
          <w:sz w:val="40"/>
          <w:szCs w:val="48"/>
          <w:lang w:val="en-US" w:eastAsia="zh-CN"/>
        </w:rPr>
      </w:pPr>
    </w:p>
    <w:p>
      <w:pPr>
        <w:spacing w:line="360" w:lineRule="auto"/>
        <w:jc w:val="center"/>
        <w:rPr>
          <w:rFonts w:hint="eastAsia" w:ascii="楷体" w:hAnsi="楷体" w:eastAsia="楷体" w:cs="楷体"/>
          <w:b/>
          <w:bCs/>
          <w:sz w:val="52"/>
          <w:szCs w:val="72"/>
          <w:lang w:val="en-US" w:eastAsia="zh-CN"/>
        </w:rPr>
      </w:pPr>
      <w:r>
        <w:rPr>
          <w:rFonts w:hint="eastAsia" w:ascii="楷体" w:hAnsi="楷体" w:eastAsia="楷体" w:cs="楷体"/>
          <w:b/>
          <w:bCs/>
          <w:sz w:val="52"/>
          <w:szCs w:val="72"/>
          <w:lang w:val="en-US" w:eastAsia="zh-CN"/>
        </w:rPr>
        <w:t>长春市报废汽车回收中心有限公司</w:t>
      </w:r>
    </w:p>
    <w:p>
      <w:pPr>
        <w:spacing w:line="360" w:lineRule="auto"/>
        <w:jc w:val="center"/>
        <w:rPr>
          <w:rFonts w:hint="eastAsia" w:ascii="楷体" w:hAnsi="楷体" w:eastAsia="楷体" w:cs="楷体"/>
          <w:b/>
          <w:bCs/>
          <w:sz w:val="72"/>
          <w:szCs w:val="144"/>
          <w:lang w:val="en-US" w:eastAsia="zh-CN"/>
        </w:rPr>
      </w:pPr>
      <w:r>
        <w:rPr>
          <w:rFonts w:hint="eastAsia" w:ascii="楷体" w:hAnsi="楷体" w:eastAsia="楷体" w:cs="楷体"/>
          <w:b/>
          <w:bCs/>
          <w:sz w:val="72"/>
          <w:szCs w:val="144"/>
          <w:lang w:val="en-US" w:eastAsia="zh-CN"/>
        </w:rPr>
        <w:t>土壤环境自行监测报告</w:t>
      </w: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40"/>
          <w:szCs w:val="48"/>
          <w:lang w:val="en-US" w:eastAsia="zh-CN"/>
        </w:rPr>
      </w:pPr>
    </w:p>
    <w:p>
      <w:pPr>
        <w:jc w:val="center"/>
        <w:rPr>
          <w:rFonts w:hint="eastAsia" w:ascii="Times New Roman" w:hAnsi="Times New Roman" w:cs="Times New Roman"/>
          <w:b/>
          <w:bCs/>
          <w:sz w:val="36"/>
          <w:szCs w:val="44"/>
          <w:lang w:val="en-US" w:eastAsia="zh-CN"/>
        </w:rPr>
      </w:pPr>
      <w:r>
        <w:rPr>
          <w:rFonts w:hint="eastAsia" w:ascii="Times New Roman" w:hAnsi="Times New Roman" w:cs="Times New Roman"/>
          <w:b/>
          <w:bCs/>
          <w:sz w:val="36"/>
          <w:szCs w:val="44"/>
          <w:lang w:val="en-US" w:eastAsia="zh-CN"/>
        </w:rPr>
        <w:t>吉林省云海技术检测服务有限公司</w:t>
      </w:r>
    </w:p>
    <w:p>
      <w:pPr>
        <w:jc w:val="center"/>
        <w:rPr>
          <w:rFonts w:hint="eastAsia" w:ascii="Times New Roman" w:hAnsi="Times New Roman" w:cs="Times New Roman"/>
          <w:b/>
          <w:bCs/>
          <w:sz w:val="32"/>
          <w:szCs w:val="40"/>
          <w:lang w:val="en-US" w:eastAsia="zh-CN"/>
        </w:rPr>
      </w:pPr>
    </w:p>
    <w:p>
      <w:pPr>
        <w:jc w:val="center"/>
        <w:rPr>
          <w:rFonts w:hint="eastAsia" w:ascii="Times New Roman" w:hAnsi="Times New Roman" w:cs="Times New Roman"/>
          <w:b/>
          <w:bCs/>
          <w:sz w:val="32"/>
          <w:szCs w:val="40"/>
          <w:lang w:val="en-US" w:eastAsia="zh-CN"/>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28"/>
          <w:szCs w:val="28"/>
          <w:lang w:val="en-US" w:eastAsia="zh-CN" w:bidi="ar-SA"/>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sdt>
      <w:sdtPr>
        <w:rPr>
          <w:rFonts w:ascii="宋体" w:hAnsi="宋体" w:eastAsia="宋体" w:cstheme="minorBidi"/>
          <w:kern w:val="2"/>
          <w:sz w:val="28"/>
          <w:szCs w:val="28"/>
          <w:lang w:val="en-US" w:eastAsia="zh-CN" w:bidi="ar-SA"/>
        </w:rPr>
        <w:id w:val="147456696"/>
        <w15:color w:val="DBDBDB"/>
        <w:docPartObj>
          <w:docPartGallery w:val="Table of Contents"/>
          <w:docPartUnique/>
        </w:docPartObj>
      </w:sdtPr>
      <w:sdtEndPr>
        <w:rPr>
          <w:rFonts w:ascii="宋体" w:hAnsi="宋体" w:eastAsia="宋体" w:cstheme="minorBidi"/>
          <w:kern w:val="2"/>
          <w:sz w:val="28"/>
          <w:szCs w:val="28"/>
          <w:lang w:val="en-US" w:eastAsia="zh-CN" w:bidi="ar-SA"/>
        </w:rPr>
      </w:sdtEndPr>
      <w:sdtContent>
        <w:p>
          <w:pPr>
            <w:spacing w:before="0" w:beforeLines="0" w:after="0" w:afterLines="0" w:line="360" w:lineRule="auto"/>
            <w:ind w:left="0" w:leftChars="0" w:right="0" w:rightChars="0" w:firstLine="0" w:firstLineChars="0"/>
            <w:jc w:val="center"/>
            <w:rPr>
              <w:rFonts w:ascii="宋体" w:hAnsi="宋体" w:eastAsia="宋体"/>
              <w:b/>
              <w:bCs/>
              <w:sz w:val="32"/>
              <w:szCs w:val="32"/>
            </w:rPr>
          </w:pPr>
          <w:bookmarkStart w:id="59" w:name="_GoBack"/>
          <w:bookmarkEnd w:id="59"/>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14"/>
            <w:rPr>
              <w:rFonts w:ascii="宋体" w:hAnsi="宋体" w:eastAsia="宋体"/>
              <w:sz w:val="24"/>
              <w:szCs w:val="24"/>
            </w:rPr>
          </w:pPr>
        </w:p>
        <w:p>
          <w:pPr>
            <w:pStyle w:val="14"/>
            <w:rPr>
              <w:rFonts w:ascii="宋体" w:hAnsi="宋体" w:eastAsia="宋体"/>
              <w:sz w:val="24"/>
              <w:szCs w:val="24"/>
            </w:rPr>
          </w:pPr>
        </w:p>
        <w:p>
          <w:pPr>
            <w:pStyle w:val="7"/>
            <w:tabs>
              <w:tab w:val="right" w:leader="dot" w:pos="8306"/>
            </w:tabs>
            <w:spacing w:line="360" w:lineRule="auto"/>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_Toc13489 </w:instrText>
          </w:r>
          <w:r>
            <w:rPr>
              <w:sz w:val="24"/>
              <w:szCs w:val="24"/>
            </w:rPr>
            <w:fldChar w:fldCharType="separate"/>
          </w:r>
          <w:r>
            <w:rPr>
              <w:rFonts w:hint="eastAsia" w:ascii="Times New Roman" w:hAnsi="Times New Roman" w:cs="Times New Roman"/>
              <w:bCs/>
              <w:sz w:val="24"/>
              <w:szCs w:val="24"/>
              <w:lang w:val="en-US" w:eastAsia="zh-CN"/>
            </w:rPr>
            <w:t>一、背景</w:t>
          </w:r>
          <w:r>
            <w:rPr>
              <w:sz w:val="24"/>
              <w:szCs w:val="24"/>
            </w:rPr>
            <w:tab/>
          </w:r>
          <w:r>
            <w:rPr>
              <w:sz w:val="24"/>
              <w:szCs w:val="24"/>
            </w:rPr>
            <w:fldChar w:fldCharType="begin"/>
          </w:r>
          <w:r>
            <w:rPr>
              <w:sz w:val="24"/>
              <w:szCs w:val="24"/>
            </w:rPr>
            <w:instrText xml:space="preserve"> PAGEREF _Toc13489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_Toc28029 </w:instrText>
          </w:r>
          <w:r>
            <w:rPr>
              <w:sz w:val="24"/>
              <w:szCs w:val="24"/>
            </w:rPr>
            <w:fldChar w:fldCharType="separate"/>
          </w:r>
          <w:r>
            <w:rPr>
              <w:rFonts w:hint="eastAsia" w:ascii="Times New Roman" w:hAnsi="Times New Roman" w:cs="Times New Roman"/>
              <w:bCs/>
              <w:sz w:val="24"/>
              <w:szCs w:val="24"/>
              <w:lang w:val="en-US" w:eastAsia="zh-CN"/>
            </w:rPr>
            <w:t>二、编制目的</w:t>
          </w:r>
          <w:r>
            <w:rPr>
              <w:sz w:val="24"/>
              <w:szCs w:val="24"/>
            </w:rPr>
            <w:tab/>
          </w:r>
          <w:r>
            <w:rPr>
              <w:sz w:val="24"/>
              <w:szCs w:val="24"/>
            </w:rPr>
            <w:fldChar w:fldCharType="begin"/>
          </w:r>
          <w:r>
            <w:rPr>
              <w:sz w:val="24"/>
              <w:szCs w:val="24"/>
            </w:rPr>
            <w:instrText xml:space="preserve"> PAGEREF _Toc28029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_Toc8832 </w:instrText>
          </w:r>
          <w:r>
            <w:rPr>
              <w:sz w:val="24"/>
              <w:szCs w:val="24"/>
            </w:rPr>
            <w:fldChar w:fldCharType="separate"/>
          </w:r>
          <w:r>
            <w:rPr>
              <w:rFonts w:hint="eastAsia" w:ascii="Times New Roman" w:hAnsi="Times New Roman" w:cs="Times New Roman"/>
              <w:bCs/>
              <w:sz w:val="24"/>
              <w:szCs w:val="24"/>
              <w:lang w:val="en-US" w:eastAsia="zh-CN"/>
            </w:rPr>
            <w:t>三、编制原则</w:t>
          </w:r>
          <w:r>
            <w:rPr>
              <w:sz w:val="24"/>
              <w:szCs w:val="24"/>
            </w:rPr>
            <w:tab/>
          </w:r>
          <w:r>
            <w:rPr>
              <w:sz w:val="24"/>
              <w:szCs w:val="24"/>
            </w:rPr>
            <w:fldChar w:fldCharType="begin"/>
          </w:r>
          <w:r>
            <w:rPr>
              <w:sz w:val="24"/>
              <w:szCs w:val="24"/>
            </w:rPr>
            <w:instrText xml:space="preserve"> PAGEREF _Toc8832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_Toc5360 </w:instrText>
          </w:r>
          <w:r>
            <w:rPr>
              <w:sz w:val="24"/>
              <w:szCs w:val="24"/>
            </w:rPr>
            <w:fldChar w:fldCharType="separate"/>
          </w:r>
          <w:r>
            <w:rPr>
              <w:rFonts w:hint="eastAsia" w:ascii="Times New Roman" w:hAnsi="Times New Roman" w:cs="Times New Roman"/>
              <w:bCs/>
              <w:sz w:val="24"/>
              <w:szCs w:val="24"/>
              <w:lang w:val="en-US" w:eastAsia="zh-CN"/>
            </w:rPr>
            <w:t>四、编制依据</w:t>
          </w:r>
          <w:r>
            <w:rPr>
              <w:sz w:val="24"/>
              <w:szCs w:val="24"/>
            </w:rPr>
            <w:tab/>
          </w:r>
          <w:r>
            <w:rPr>
              <w:sz w:val="24"/>
              <w:szCs w:val="24"/>
            </w:rPr>
            <w:fldChar w:fldCharType="begin"/>
          </w:r>
          <w:r>
            <w:rPr>
              <w:sz w:val="24"/>
              <w:szCs w:val="24"/>
            </w:rPr>
            <w:instrText xml:space="preserve"> PAGEREF _Toc5360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_Toc14890 </w:instrText>
          </w:r>
          <w:r>
            <w:rPr>
              <w:sz w:val="24"/>
              <w:szCs w:val="24"/>
            </w:rPr>
            <w:fldChar w:fldCharType="separate"/>
          </w:r>
          <w:r>
            <w:rPr>
              <w:rFonts w:hint="eastAsia" w:ascii="Times New Roman" w:hAnsi="Times New Roman" w:cs="Times New Roman"/>
              <w:bCs/>
              <w:sz w:val="24"/>
              <w:szCs w:val="24"/>
              <w:lang w:val="en-US" w:eastAsia="zh-CN"/>
            </w:rPr>
            <w:t>1、国家相关法律法规和政策</w:t>
          </w:r>
          <w:r>
            <w:rPr>
              <w:sz w:val="24"/>
              <w:szCs w:val="24"/>
            </w:rPr>
            <w:tab/>
          </w:r>
          <w:r>
            <w:rPr>
              <w:sz w:val="24"/>
              <w:szCs w:val="24"/>
            </w:rPr>
            <w:fldChar w:fldCharType="begin"/>
          </w:r>
          <w:r>
            <w:rPr>
              <w:sz w:val="24"/>
              <w:szCs w:val="24"/>
            </w:rPr>
            <w:instrText xml:space="preserve"> PAGEREF _Toc14890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_Toc526 </w:instrText>
          </w:r>
          <w:r>
            <w:rPr>
              <w:sz w:val="24"/>
              <w:szCs w:val="24"/>
            </w:rPr>
            <w:fldChar w:fldCharType="separate"/>
          </w:r>
          <w:r>
            <w:rPr>
              <w:rFonts w:hint="eastAsia" w:ascii="Times New Roman" w:hAnsi="Times New Roman" w:cs="Times New Roman"/>
              <w:bCs/>
              <w:sz w:val="24"/>
              <w:szCs w:val="24"/>
              <w:lang w:val="en-US" w:eastAsia="zh-CN"/>
            </w:rPr>
            <w:t>2、相关导则和规范</w:t>
          </w:r>
          <w:r>
            <w:rPr>
              <w:sz w:val="24"/>
              <w:szCs w:val="24"/>
            </w:rPr>
            <w:tab/>
          </w:r>
          <w:r>
            <w:rPr>
              <w:sz w:val="24"/>
              <w:szCs w:val="24"/>
            </w:rPr>
            <w:fldChar w:fldCharType="begin"/>
          </w:r>
          <w:r>
            <w:rPr>
              <w:sz w:val="24"/>
              <w:szCs w:val="24"/>
            </w:rPr>
            <w:instrText xml:space="preserve"> PAGEREF _Toc526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_Toc15386 </w:instrText>
          </w:r>
          <w:r>
            <w:rPr>
              <w:sz w:val="24"/>
              <w:szCs w:val="24"/>
            </w:rPr>
            <w:fldChar w:fldCharType="separate"/>
          </w:r>
          <w:r>
            <w:rPr>
              <w:rFonts w:hint="eastAsia" w:ascii="Times New Roman" w:hAnsi="Times New Roman" w:cs="Times New Roman"/>
              <w:bCs/>
              <w:sz w:val="24"/>
              <w:szCs w:val="24"/>
              <w:lang w:val="en-US" w:eastAsia="zh-CN"/>
            </w:rPr>
            <w:t>五、企业基本信息调查</w:t>
          </w:r>
          <w:r>
            <w:rPr>
              <w:sz w:val="24"/>
              <w:szCs w:val="24"/>
            </w:rPr>
            <w:tab/>
          </w:r>
          <w:r>
            <w:rPr>
              <w:sz w:val="24"/>
              <w:szCs w:val="24"/>
            </w:rPr>
            <w:fldChar w:fldCharType="begin"/>
          </w:r>
          <w:r>
            <w:rPr>
              <w:sz w:val="24"/>
              <w:szCs w:val="24"/>
            </w:rPr>
            <w:instrText xml:space="preserve"> PAGEREF _Toc15386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_Toc28547 </w:instrText>
          </w:r>
          <w:r>
            <w:rPr>
              <w:sz w:val="24"/>
              <w:szCs w:val="24"/>
            </w:rPr>
            <w:fldChar w:fldCharType="separate"/>
          </w:r>
          <w:r>
            <w:rPr>
              <w:rFonts w:hint="eastAsia" w:ascii="Times New Roman" w:hAnsi="Times New Roman" w:cs="Times New Roman"/>
              <w:bCs/>
              <w:sz w:val="24"/>
              <w:szCs w:val="24"/>
              <w:lang w:val="en-US" w:eastAsia="zh-CN"/>
            </w:rPr>
            <w:t>六、 监测方案</w:t>
          </w:r>
          <w:r>
            <w:rPr>
              <w:sz w:val="24"/>
              <w:szCs w:val="24"/>
            </w:rPr>
            <w:tab/>
          </w:r>
          <w:r>
            <w:rPr>
              <w:sz w:val="24"/>
              <w:szCs w:val="24"/>
            </w:rPr>
            <w:fldChar w:fldCharType="begin"/>
          </w:r>
          <w:r>
            <w:rPr>
              <w:sz w:val="24"/>
              <w:szCs w:val="24"/>
            </w:rPr>
            <w:instrText xml:space="preserve"> PAGEREF _Toc28547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_Toc11404 </w:instrText>
          </w:r>
          <w:r>
            <w:rPr>
              <w:sz w:val="24"/>
              <w:szCs w:val="24"/>
            </w:rPr>
            <w:fldChar w:fldCharType="separate"/>
          </w:r>
          <w:r>
            <w:rPr>
              <w:rFonts w:hint="eastAsia" w:ascii="Times New Roman" w:hAnsi="Times New Roman" w:cs="Times New Roman"/>
              <w:bCs/>
              <w:sz w:val="24"/>
              <w:szCs w:val="24"/>
              <w:lang w:val="en-US" w:eastAsia="zh-CN"/>
            </w:rPr>
            <w:t>1、土壤</w:t>
          </w:r>
          <w:r>
            <w:rPr>
              <w:sz w:val="24"/>
              <w:szCs w:val="24"/>
            </w:rPr>
            <w:tab/>
          </w:r>
          <w:r>
            <w:rPr>
              <w:sz w:val="24"/>
              <w:szCs w:val="24"/>
            </w:rPr>
            <w:fldChar w:fldCharType="begin"/>
          </w:r>
          <w:r>
            <w:rPr>
              <w:sz w:val="24"/>
              <w:szCs w:val="24"/>
            </w:rPr>
            <w:instrText xml:space="preserve"> PAGEREF _Toc11404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_Toc15314 </w:instrText>
          </w:r>
          <w:r>
            <w:rPr>
              <w:sz w:val="24"/>
              <w:szCs w:val="24"/>
            </w:rPr>
            <w:fldChar w:fldCharType="separate"/>
          </w:r>
          <w:r>
            <w:rPr>
              <w:rFonts w:hint="eastAsia" w:ascii="Times New Roman" w:hAnsi="Times New Roman" w:cs="Times New Roman"/>
              <w:bCs w:val="0"/>
              <w:sz w:val="24"/>
              <w:szCs w:val="24"/>
              <w:lang w:val="en-US" w:eastAsia="zh-CN"/>
            </w:rPr>
            <w:t>（1）监测点位</w:t>
          </w:r>
          <w:r>
            <w:rPr>
              <w:sz w:val="24"/>
              <w:szCs w:val="24"/>
            </w:rPr>
            <w:tab/>
          </w:r>
          <w:r>
            <w:rPr>
              <w:sz w:val="24"/>
              <w:szCs w:val="24"/>
            </w:rPr>
            <w:fldChar w:fldCharType="begin"/>
          </w:r>
          <w:r>
            <w:rPr>
              <w:sz w:val="24"/>
              <w:szCs w:val="24"/>
            </w:rPr>
            <w:instrText xml:space="preserve"> PAGEREF _Toc15314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_Toc5710 </w:instrText>
          </w:r>
          <w:r>
            <w:rPr>
              <w:sz w:val="24"/>
              <w:szCs w:val="24"/>
            </w:rPr>
            <w:fldChar w:fldCharType="separate"/>
          </w:r>
          <w:r>
            <w:rPr>
              <w:rFonts w:hint="eastAsia" w:ascii="Times New Roman" w:hAnsi="Times New Roman" w:cs="Times New Roman"/>
              <w:bCs w:val="0"/>
              <w:sz w:val="24"/>
              <w:szCs w:val="24"/>
              <w:lang w:val="en-US" w:eastAsia="zh-CN"/>
            </w:rPr>
            <w:t>（2）监测项目</w:t>
          </w:r>
          <w:r>
            <w:rPr>
              <w:sz w:val="24"/>
              <w:szCs w:val="24"/>
            </w:rPr>
            <w:tab/>
          </w:r>
          <w:r>
            <w:rPr>
              <w:sz w:val="24"/>
              <w:szCs w:val="24"/>
            </w:rPr>
            <w:fldChar w:fldCharType="begin"/>
          </w:r>
          <w:r>
            <w:rPr>
              <w:sz w:val="24"/>
              <w:szCs w:val="24"/>
            </w:rPr>
            <w:instrText xml:space="preserve"> PAGEREF _Toc5710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_Toc31546 </w:instrText>
          </w:r>
          <w:r>
            <w:rPr>
              <w:sz w:val="24"/>
              <w:szCs w:val="24"/>
            </w:rPr>
            <w:fldChar w:fldCharType="separate"/>
          </w:r>
          <w:r>
            <w:rPr>
              <w:rFonts w:hint="eastAsia" w:ascii="Times New Roman" w:hAnsi="Times New Roman" w:cs="Times New Roman"/>
              <w:bCs/>
              <w:sz w:val="24"/>
              <w:szCs w:val="24"/>
              <w:lang w:val="en-US" w:eastAsia="zh-CN"/>
            </w:rPr>
            <w:t>2、地下水</w:t>
          </w:r>
          <w:r>
            <w:rPr>
              <w:sz w:val="24"/>
              <w:szCs w:val="24"/>
            </w:rPr>
            <w:tab/>
          </w:r>
          <w:r>
            <w:rPr>
              <w:sz w:val="24"/>
              <w:szCs w:val="24"/>
            </w:rPr>
            <w:fldChar w:fldCharType="begin"/>
          </w:r>
          <w:r>
            <w:rPr>
              <w:sz w:val="24"/>
              <w:szCs w:val="24"/>
            </w:rPr>
            <w:instrText xml:space="preserve"> PAGEREF _Toc31546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_Toc15314 </w:instrText>
          </w:r>
          <w:r>
            <w:rPr>
              <w:sz w:val="24"/>
              <w:szCs w:val="24"/>
            </w:rPr>
            <w:fldChar w:fldCharType="separate"/>
          </w:r>
          <w:r>
            <w:rPr>
              <w:rFonts w:hint="eastAsia" w:ascii="Times New Roman" w:hAnsi="Times New Roman" w:cs="Times New Roman"/>
              <w:bCs w:val="0"/>
              <w:sz w:val="24"/>
              <w:szCs w:val="24"/>
              <w:lang w:val="en-US" w:eastAsia="zh-CN"/>
            </w:rPr>
            <w:t>（1）监测点位</w:t>
          </w:r>
          <w:r>
            <w:rPr>
              <w:sz w:val="24"/>
              <w:szCs w:val="24"/>
            </w:rPr>
            <w:tab/>
          </w:r>
          <w:r>
            <w:rPr>
              <w:rFonts w:hint="eastAsia"/>
              <w:sz w:val="24"/>
              <w:szCs w:val="24"/>
              <w:lang w:val="en-US" w:eastAsia="zh-CN"/>
            </w:rPr>
            <w:t>7</w:t>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_Toc5710 </w:instrText>
          </w:r>
          <w:r>
            <w:rPr>
              <w:sz w:val="24"/>
              <w:szCs w:val="24"/>
            </w:rPr>
            <w:fldChar w:fldCharType="separate"/>
          </w:r>
          <w:r>
            <w:rPr>
              <w:rFonts w:hint="eastAsia" w:ascii="Times New Roman" w:hAnsi="Times New Roman" w:cs="Times New Roman"/>
              <w:bCs w:val="0"/>
              <w:sz w:val="24"/>
              <w:szCs w:val="24"/>
              <w:lang w:val="en-US" w:eastAsia="zh-CN"/>
            </w:rPr>
            <w:t>（2）监测项目</w:t>
          </w:r>
          <w:r>
            <w:rPr>
              <w:sz w:val="24"/>
              <w:szCs w:val="24"/>
            </w:rPr>
            <w:tab/>
          </w:r>
          <w:r>
            <w:rPr>
              <w:rFonts w:hint="eastAsia"/>
              <w:sz w:val="24"/>
              <w:szCs w:val="24"/>
              <w:lang w:val="en-US" w:eastAsia="zh-CN"/>
            </w:rPr>
            <w:t>7</w:t>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_Toc29091 </w:instrText>
          </w:r>
          <w:r>
            <w:rPr>
              <w:sz w:val="24"/>
              <w:szCs w:val="24"/>
            </w:rPr>
            <w:fldChar w:fldCharType="separate"/>
          </w:r>
          <w:r>
            <w:rPr>
              <w:rFonts w:hint="eastAsia" w:ascii="Times New Roman" w:hAnsi="Times New Roman" w:cs="Times New Roman"/>
              <w:bCs/>
              <w:sz w:val="24"/>
              <w:szCs w:val="24"/>
              <w:lang w:val="en-US" w:eastAsia="zh-CN"/>
            </w:rPr>
            <w:t>七、 样品采集、保存、流转及分析测试</w:t>
          </w:r>
          <w:r>
            <w:rPr>
              <w:sz w:val="24"/>
              <w:szCs w:val="24"/>
            </w:rPr>
            <w:tab/>
          </w:r>
          <w:r>
            <w:rPr>
              <w:sz w:val="24"/>
              <w:szCs w:val="24"/>
            </w:rPr>
            <w:fldChar w:fldCharType="begin"/>
          </w:r>
          <w:r>
            <w:rPr>
              <w:sz w:val="24"/>
              <w:szCs w:val="24"/>
            </w:rPr>
            <w:instrText xml:space="preserve"> PAGEREF _Toc29091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_Toc29240 </w:instrText>
          </w:r>
          <w:r>
            <w:rPr>
              <w:sz w:val="24"/>
              <w:szCs w:val="24"/>
            </w:rPr>
            <w:fldChar w:fldCharType="separate"/>
          </w:r>
          <w:r>
            <w:rPr>
              <w:rFonts w:hint="eastAsia" w:ascii="Times New Roman" w:hAnsi="Times New Roman" w:cs="Times New Roman"/>
              <w:bCs/>
              <w:sz w:val="24"/>
              <w:szCs w:val="24"/>
              <w:lang w:val="en-US" w:eastAsia="zh-CN"/>
            </w:rPr>
            <w:t>7.1土壤样品</w:t>
          </w:r>
          <w:r>
            <w:rPr>
              <w:sz w:val="24"/>
              <w:szCs w:val="24"/>
            </w:rPr>
            <w:tab/>
          </w:r>
          <w:r>
            <w:rPr>
              <w:sz w:val="24"/>
              <w:szCs w:val="24"/>
            </w:rPr>
            <w:fldChar w:fldCharType="begin"/>
          </w:r>
          <w:r>
            <w:rPr>
              <w:sz w:val="24"/>
              <w:szCs w:val="24"/>
            </w:rPr>
            <w:instrText xml:space="preserve"> PAGEREF _Toc29240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_Toc9978 </w:instrText>
          </w:r>
          <w:r>
            <w:rPr>
              <w:sz w:val="24"/>
              <w:szCs w:val="24"/>
            </w:rPr>
            <w:fldChar w:fldCharType="separate"/>
          </w:r>
          <w:r>
            <w:rPr>
              <w:rFonts w:hint="eastAsia" w:ascii="Times New Roman" w:hAnsi="Times New Roman" w:cs="Times New Roman"/>
              <w:bCs w:val="0"/>
              <w:sz w:val="24"/>
              <w:szCs w:val="24"/>
              <w:lang w:val="en-US" w:eastAsia="zh-CN"/>
            </w:rPr>
            <w:t>7.1.1土壤样品采集</w:t>
          </w:r>
          <w:r>
            <w:rPr>
              <w:sz w:val="24"/>
              <w:szCs w:val="24"/>
            </w:rPr>
            <w:tab/>
          </w:r>
          <w:r>
            <w:rPr>
              <w:sz w:val="24"/>
              <w:szCs w:val="24"/>
            </w:rPr>
            <w:fldChar w:fldCharType="begin"/>
          </w:r>
          <w:r>
            <w:rPr>
              <w:sz w:val="24"/>
              <w:szCs w:val="24"/>
            </w:rPr>
            <w:instrText xml:space="preserve"> PAGEREF _Toc9978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_Toc32611 </w:instrText>
          </w:r>
          <w:r>
            <w:rPr>
              <w:sz w:val="24"/>
              <w:szCs w:val="24"/>
            </w:rPr>
            <w:fldChar w:fldCharType="separate"/>
          </w:r>
          <w:r>
            <w:rPr>
              <w:rFonts w:hint="eastAsia" w:ascii="Times New Roman" w:hAnsi="Times New Roman" w:cs="Times New Roman"/>
              <w:bCs w:val="0"/>
              <w:sz w:val="24"/>
              <w:szCs w:val="24"/>
              <w:lang w:val="en-US" w:eastAsia="zh-CN"/>
            </w:rPr>
            <w:t>7.1.2</w:t>
          </w:r>
          <w:r>
            <w:rPr>
              <w:rFonts w:hint="default" w:ascii="Times New Roman" w:hAnsi="Times New Roman" w:cs="Times New Roman"/>
              <w:bCs w:val="0"/>
              <w:sz w:val="24"/>
              <w:szCs w:val="24"/>
              <w:lang w:val="en-US" w:eastAsia="zh-CN"/>
            </w:rPr>
            <w:t>土壤样品的保存与流转</w:t>
          </w:r>
          <w:r>
            <w:rPr>
              <w:sz w:val="24"/>
              <w:szCs w:val="24"/>
            </w:rPr>
            <w:tab/>
          </w:r>
          <w:r>
            <w:rPr>
              <w:sz w:val="24"/>
              <w:szCs w:val="24"/>
            </w:rPr>
            <w:fldChar w:fldCharType="begin"/>
          </w:r>
          <w:r>
            <w:rPr>
              <w:sz w:val="24"/>
              <w:szCs w:val="24"/>
            </w:rPr>
            <w:instrText xml:space="preserve"> PAGEREF _Toc32611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_Toc909 </w:instrText>
          </w:r>
          <w:r>
            <w:rPr>
              <w:sz w:val="24"/>
              <w:szCs w:val="24"/>
            </w:rPr>
            <w:fldChar w:fldCharType="separate"/>
          </w:r>
          <w:r>
            <w:rPr>
              <w:rFonts w:hint="default" w:ascii="Times New Roman" w:hAnsi="Times New Roman" w:cs="Times New Roman"/>
              <w:bCs/>
              <w:sz w:val="24"/>
              <w:szCs w:val="24"/>
              <w:lang w:val="en-US" w:eastAsia="zh-CN"/>
            </w:rPr>
            <w:t>7.2 地下水样品</w:t>
          </w:r>
          <w:r>
            <w:rPr>
              <w:sz w:val="24"/>
              <w:szCs w:val="24"/>
            </w:rPr>
            <w:tab/>
          </w:r>
          <w:r>
            <w:rPr>
              <w:sz w:val="24"/>
              <w:szCs w:val="24"/>
            </w:rPr>
            <w:fldChar w:fldCharType="begin"/>
          </w:r>
          <w:r>
            <w:rPr>
              <w:sz w:val="24"/>
              <w:szCs w:val="24"/>
            </w:rPr>
            <w:instrText xml:space="preserve"> PAGEREF _Toc909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_Toc14987 </w:instrText>
          </w:r>
          <w:r>
            <w:rPr>
              <w:sz w:val="24"/>
              <w:szCs w:val="24"/>
            </w:rPr>
            <w:fldChar w:fldCharType="separate"/>
          </w:r>
          <w:r>
            <w:rPr>
              <w:rFonts w:hint="default" w:ascii="Times New Roman" w:hAnsi="Times New Roman" w:cs="Times New Roman"/>
              <w:bCs w:val="0"/>
              <w:sz w:val="24"/>
              <w:szCs w:val="24"/>
              <w:lang w:val="en-US" w:eastAsia="zh-CN"/>
            </w:rPr>
            <w:t>7.2.1 地下水采集</w:t>
          </w:r>
          <w:r>
            <w:rPr>
              <w:sz w:val="24"/>
              <w:szCs w:val="24"/>
            </w:rPr>
            <w:tab/>
          </w:r>
          <w:r>
            <w:rPr>
              <w:sz w:val="24"/>
              <w:szCs w:val="24"/>
            </w:rPr>
            <w:fldChar w:fldCharType="begin"/>
          </w:r>
          <w:r>
            <w:rPr>
              <w:sz w:val="24"/>
              <w:szCs w:val="24"/>
            </w:rPr>
            <w:instrText xml:space="preserve"> PAGEREF _Toc14987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4"/>
            <w:tabs>
              <w:tab w:val="right" w:leader="dot" w:pos="8306"/>
            </w:tabs>
            <w:spacing w:line="360" w:lineRule="auto"/>
            <w:rPr>
              <w:sz w:val="24"/>
              <w:szCs w:val="24"/>
            </w:rPr>
          </w:pPr>
          <w:r>
            <w:rPr>
              <w:sz w:val="24"/>
              <w:szCs w:val="24"/>
            </w:rPr>
            <w:fldChar w:fldCharType="begin"/>
          </w:r>
          <w:r>
            <w:rPr>
              <w:sz w:val="24"/>
              <w:szCs w:val="24"/>
            </w:rPr>
            <w:instrText xml:space="preserve"> HYPERLINK \l _Toc18448 </w:instrText>
          </w:r>
          <w:r>
            <w:rPr>
              <w:sz w:val="24"/>
              <w:szCs w:val="24"/>
            </w:rPr>
            <w:fldChar w:fldCharType="separate"/>
          </w:r>
          <w:r>
            <w:rPr>
              <w:rFonts w:hint="default" w:ascii="Times New Roman" w:hAnsi="Times New Roman" w:cs="Times New Roman"/>
              <w:bCs w:val="0"/>
              <w:sz w:val="24"/>
              <w:szCs w:val="24"/>
              <w:lang w:val="en-US" w:eastAsia="zh-CN"/>
            </w:rPr>
            <w:t>7.2.2 地下水样品的保存与流转</w:t>
          </w:r>
          <w:r>
            <w:rPr>
              <w:sz w:val="24"/>
              <w:szCs w:val="24"/>
            </w:rPr>
            <w:tab/>
          </w:r>
          <w:r>
            <w:rPr>
              <w:sz w:val="24"/>
              <w:szCs w:val="24"/>
            </w:rPr>
            <w:fldChar w:fldCharType="begin"/>
          </w:r>
          <w:r>
            <w:rPr>
              <w:sz w:val="24"/>
              <w:szCs w:val="24"/>
            </w:rPr>
            <w:instrText xml:space="preserve"> PAGEREF _Toc18448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_Toc20785 </w:instrText>
          </w:r>
          <w:r>
            <w:rPr>
              <w:sz w:val="24"/>
              <w:szCs w:val="24"/>
            </w:rPr>
            <w:fldChar w:fldCharType="separate"/>
          </w:r>
          <w:r>
            <w:rPr>
              <w:rFonts w:hint="default" w:ascii="Times New Roman" w:hAnsi="Times New Roman" w:cs="Times New Roman"/>
              <w:bCs/>
              <w:sz w:val="24"/>
              <w:szCs w:val="24"/>
              <w:lang w:val="en-US" w:eastAsia="zh-CN"/>
            </w:rPr>
            <w:t>7.3 分析测试</w:t>
          </w:r>
          <w:r>
            <w:rPr>
              <w:sz w:val="24"/>
              <w:szCs w:val="24"/>
            </w:rPr>
            <w:tab/>
          </w:r>
          <w:r>
            <w:rPr>
              <w:sz w:val="24"/>
              <w:szCs w:val="24"/>
            </w:rPr>
            <w:fldChar w:fldCharType="begin"/>
          </w:r>
          <w:r>
            <w:rPr>
              <w:sz w:val="24"/>
              <w:szCs w:val="24"/>
            </w:rPr>
            <w:instrText xml:space="preserve"> PAGEREF _Toc20785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_Toc1331 </w:instrText>
          </w:r>
          <w:r>
            <w:rPr>
              <w:sz w:val="24"/>
              <w:szCs w:val="24"/>
            </w:rPr>
            <w:fldChar w:fldCharType="separate"/>
          </w:r>
          <w:r>
            <w:rPr>
              <w:rFonts w:hint="default" w:ascii="Times New Roman" w:hAnsi="Times New Roman" w:cs="Times New Roman"/>
              <w:bCs/>
              <w:sz w:val="24"/>
              <w:szCs w:val="24"/>
              <w:lang w:val="en-US" w:eastAsia="zh-CN"/>
            </w:rPr>
            <w:t>7.4 质量保证与质量控制</w:t>
          </w:r>
          <w:r>
            <w:rPr>
              <w:sz w:val="24"/>
              <w:szCs w:val="24"/>
            </w:rPr>
            <w:tab/>
          </w:r>
          <w:r>
            <w:rPr>
              <w:sz w:val="24"/>
              <w:szCs w:val="24"/>
            </w:rPr>
            <w:fldChar w:fldCharType="begin"/>
          </w:r>
          <w:r>
            <w:rPr>
              <w:sz w:val="24"/>
              <w:szCs w:val="24"/>
            </w:rPr>
            <w:instrText xml:space="preserve"> PAGEREF _Toc1331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_Toc3501 </w:instrText>
          </w:r>
          <w:r>
            <w:rPr>
              <w:sz w:val="24"/>
              <w:szCs w:val="24"/>
            </w:rPr>
            <w:fldChar w:fldCharType="separate"/>
          </w:r>
          <w:r>
            <w:rPr>
              <w:rFonts w:hint="eastAsia" w:ascii="Times New Roman" w:hAnsi="Times New Roman" w:cs="Times New Roman"/>
              <w:bCs/>
              <w:sz w:val="24"/>
              <w:szCs w:val="24"/>
              <w:lang w:val="en-US" w:eastAsia="zh-CN"/>
            </w:rPr>
            <w:t>八、 结果评价</w:t>
          </w:r>
          <w:r>
            <w:rPr>
              <w:sz w:val="24"/>
              <w:szCs w:val="24"/>
            </w:rPr>
            <w:tab/>
          </w:r>
          <w:r>
            <w:rPr>
              <w:sz w:val="24"/>
              <w:szCs w:val="24"/>
            </w:rPr>
            <w:fldChar w:fldCharType="begin"/>
          </w:r>
          <w:r>
            <w:rPr>
              <w:sz w:val="24"/>
              <w:szCs w:val="24"/>
            </w:rPr>
            <w:instrText xml:space="preserve"> PAGEREF _Toc3501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_Toc3755 </w:instrText>
          </w:r>
          <w:r>
            <w:rPr>
              <w:sz w:val="24"/>
              <w:szCs w:val="24"/>
            </w:rPr>
            <w:fldChar w:fldCharType="separate"/>
          </w:r>
          <w:r>
            <w:rPr>
              <w:rFonts w:hint="eastAsia" w:ascii="Times New Roman" w:hAnsi="Times New Roman" w:cs="Times New Roman"/>
              <w:bCs w:val="0"/>
              <w:sz w:val="24"/>
              <w:szCs w:val="24"/>
              <w:lang w:val="en-US" w:eastAsia="zh-CN"/>
            </w:rPr>
            <w:t>1、根据分析方法及要求，所用仪器详见下表：</w:t>
          </w:r>
          <w:r>
            <w:rPr>
              <w:sz w:val="24"/>
              <w:szCs w:val="24"/>
            </w:rPr>
            <w:tab/>
          </w:r>
          <w:r>
            <w:rPr>
              <w:sz w:val="24"/>
              <w:szCs w:val="24"/>
            </w:rPr>
            <w:fldChar w:fldCharType="begin"/>
          </w:r>
          <w:r>
            <w:rPr>
              <w:sz w:val="24"/>
              <w:szCs w:val="24"/>
            </w:rPr>
            <w:instrText xml:space="preserve"> PAGEREF _Toc3755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_Toc25757 </w:instrText>
          </w:r>
          <w:r>
            <w:rPr>
              <w:sz w:val="24"/>
              <w:szCs w:val="24"/>
            </w:rPr>
            <w:fldChar w:fldCharType="separate"/>
          </w:r>
          <w:r>
            <w:rPr>
              <w:rFonts w:hint="eastAsia" w:ascii="Times New Roman" w:hAnsi="Times New Roman" w:cs="Times New Roman"/>
              <w:bCs w:val="0"/>
              <w:sz w:val="24"/>
              <w:szCs w:val="24"/>
              <w:lang w:val="en-US" w:eastAsia="zh-CN"/>
            </w:rPr>
            <w:t>2、 检测结果</w:t>
          </w:r>
          <w:r>
            <w:rPr>
              <w:sz w:val="24"/>
              <w:szCs w:val="24"/>
            </w:rPr>
            <w:tab/>
          </w:r>
          <w:r>
            <w:rPr>
              <w:sz w:val="24"/>
              <w:szCs w:val="24"/>
            </w:rPr>
            <w:fldChar w:fldCharType="begin"/>
          </w:r>
          <w:r>
            <w:rPr>
              <w:sz w:val="24"/>
              <w:szCs w:val="24"/>
            </w:rPr>
            <w:instrText xml:space="preserve"> PAGEREF _Toc25757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8"/>
            <w:tabs>
              <w:tab w:val="right" w:leader="dot" w:pos="8306"/>
            </w:tabs>
            <w:spacing w:line="360" w:lineRule="auto"/>
            <w:rPr>
              <w:sz w:val="24"/>
              <w:szCs w:val="24"/>
            </w:rPr>
          </w:pPr>
          <w:r>
            <w:rPr>
              <w:sz w:val="24"/>
              <w:szCs w:val="24"/>
            </w:rPr>
            <w:fldChar w:fldCharType="begin"/>
          </w:r>
          <w:r>
            <w:rPr>
              <w:sz w:val="24"/>
              <w:szCs w:val="24"/>
            </w:rPr>
            <w:instrText xml:space="preserve"> HYPERLINK \l _Toc8053 </w:instrText>
          </w:r>
          <w:r>
            <w:rPr>
              <w:sz w:val="24"/>
              <w:szCs w:val="24"/>
            </w:rPr>
            <w:fldChar w:fldCharType="separate"/>
          </w:r>
          <w:r>
            <w:rPr>
              <w:rFonts w:hint="eastAsia"/>
              <w:sz w:val="24"/>
              <w:szCs w:val="24"/>
              <w:lang w:val="en-US" w:eastAsia="zh-CN"/>
            </w:rPr>
            <w:t>3、 分析结果汇总</w:t>
          </w:r>
          <w:r>
            <w:rPr>
              <w:sz w:val="24"/>
              <w:szCs w:val="24"/>
            </w:rPr>
            <w:tab/>
          </w:r>
          <w:r>
            <w:rPr>
              <w:sz w:val="24"/>
              <w:szCs w:val="24"/>
            </w:rPr>
            <w:fldChar w:fldCharType="begin"/>
          </w:r>
          <w:r>
            <w:rPr>
              <w:sz w:val="24"/>
              <w:szCs w:val="24"/>
            </w:rPr>
            <w:instrText xml:space="preserve"> PAGEREF _Toc8053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7"/>
            <w:tabs>
              <w:tab w:val="right" w:leader="dot" w:pos="8306"/>
            </w:tabs>
            <w:spacing w:line="360" w:lineRule="auto"/>
            <w:rPr>
              <w:sz w:val="24"/>
              <w:szCs w:val="24"/>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_Toc8849 </w:instrText>
          </w:r>
          <w:r>
            <w:rPr>
              <w:sz w:val="24"/>
              <w:szCs w:val="24"/>
            </w:rPr>
            <w:fldChar w:fldCharType="separate"/>
          </w:r>
          <w:r>
            <w:rPr>
              <w:rFonts w:hint="eastAsia" w:ascii="Times New Roman" w:hAnsi="Times New Roman" w:cs="Times New Roman"/>
              <w:bCs/>
              <w:sz w:val="24"/>
              <w:szCs w:val="24"/>
              <w:lang w:val="en-US" w:eastAsia="zh-CN"/>
            </w:rPr>
            <w:t>九、 结论与建议</w:t>
          </w:r>
          <w:r>
            <w:rPr>
              <w:sz w:val="24"/>
              <w:szCs w:val="24"/>
            </w:rPr>
            <w:tab/>
          </w:r>
          <w:r>
            <w:rPr>
              <w:sz w:val="24"/>
              <w:szCs w:val="24"/>
            </w:rPr>
            <w:fldChar w:fldCharType="begin"/>
          </w:r>
          <w:r>
            <w:rPr>
              <w:sz w:val="24"/>
              <w:szCs w:val="24"/>
            </w:rPr>
            <w:instrText xml:space="preserve"> PAGEREF _Toc8849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_Toc323 </w:instrText>
          </w:r>
          <w:r>
            <w:rPr>
              <w:sz w:val="24"/>
              <w:szCs w:val="24"/>
            </w:rPr>
            <w:fldChar w:fldCharType="separate"/>
          </w:r>
          <w:r>
            <w:rPr>
              <w:rFonts w:hint="eastAsia" w:ascii="Times New Roman" w:hAnsi="Times New Roman" w:cs="Times New Roman"/>
              <w:bCs/>
              <w:sz w:val="24"/>
              <w:szCs w:val="24"/>
              <w:lang w:val="en-US" w:eastAsia="zh-CN"/>
            </w:rPr>
            <w:t>附图1 厂区平面布置及厂区内监测点位</w:t>
          </w:r>
          <w:r>
            <w:rPr>
              <w:sz w:val="24"/>
              <w:szCs w:val="24"/>
            </w:rPr>
            <w:tab/>
          </w:r>
          <w:r>
            <w:rPr>
              <w:sz w:val="24"/>
              <w:szCs w:val="24"/>
            </w:rPr>
            <w:fldChar w:fldCharType="begin"/>
          </w:r>
          <w:r>
            <w:rPr>
              <w:sz w:val="24"/>
              <w:szCs w:val="24"/>
            </w:rPr>
            <w:instrText xml:space="preserve"> PAGEREF _Toc323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7"/>
            <w:tabs>
              <w:tab w:val="right" w:leader="dot" w:pos="8306"/>
            </w:tabs>
            <w:spacing w:line="360" w:lineRule="auto"/>
            <w:rPr>
              <w:sz w:val="24"/>
              <w:szCs w:val="24"/>
            </w:rPr>
          </w:pPr>
          <w:r>
            <w:rPr>
              <w:sz w:val="24"/>
              <w:szCs w:val="24"/>
            </w:rPr>
            <w:fldChar w:fldCharType="begin"/>
          </w:r>
          <w:r>
            <w:rPr>
              <w:sz w:val="24"/>
              <w:szCs w:val="24"/>
            </w:rPr>
            <w:instrText xml:space="preserve"> HYPERLINK \l _Toc25680 </w:instrText>
          </w:r>
          <w:r>
            <w:rPr>
              <w:sz w:val="24"/>
              <w:szCs w:val="24"/>
            </w:rPr>
            <w:fldChar w:fldCharType="separate"/>
          </w:r>
          <w:r>
            <w:rPr>
              <w:rFonts w:hint="eastAsia" w:ascii="Times New Roman" w:hAnsi="Times New Roman" w:cs="Times New Roman"/>
              <w:bCs/>
              <w:sz w:val="24"/>
              <w:szCs w:val="24"/>
              <w:lang w:val="en-US" w:eastAsia="zh-CN"/>
            </w:rPr>
            <w:t>附图2 本项目地理位置图</w:t>
          </w:r>
          <w:r>
            <w:rPr>
              <w:sz w:val="24"/>
              <w:szCs w:val="24"/>
            </w:rPr>
            <w:tab/>
          </w:r>
          <w:r>
            <w:rPr>
              <w:sz w:val="24"/>
              <w:szCs w:val="24"/>
            </w:rPr>
            <w:fldChar w:fldCharType="begin"/>
          </w:r>
          <w:r>
            <w:rPr>
              <w:sz w:val="24"/>
              <w:szCs w:val="24"/>
            </w:rPr>
            <w:instrText xml:space="preserve"> PAGEREF _Toc25680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7"/>
            <w:tabs>
              <w:tab w:val="right" w:leader="dot" w:pos="8306"/>
            </w:tabs>
            <w:spacing w:line="360" w:lineRule="auto"/>
            <w:rPr>
              <w:rFonts w:hint="eastAsia" w:eastAsiaTheme="minorEastAsia"/>
              <w:sz w:val="24"/>
              <w:szCs w:val="24"/>
              <w:lang w:val="en-US" w:eastAsia="zh-CN"/>
            </w:rPr>
          </w:pPr>
          <w:r>
            <w:rPr>
              <w:sz w:val="24"/>
              <w:szCs w:val="24"/>
            </w:rPr>
            <w:fldChar w:fldCharType="end"/>
          </w:r>
          <w:r>
            <w:rPr>
              <w:sz w:val="24"/>
              <w:szCs w:val="24"/>
            </w:rPr>
            <w:fldChar w:fldCharType="begin"/>
          </w:r>
          <w:r>
            <w:rPr>
              <w:sz w:val="24"/>
              <w:szCs w:val="24"/>
            </w:rPr>
            <w:instrText xml:space="preserve"> HYPERLINK \l _Toc25680 </w:instrText>
          </w:r>
          <w:r>
            <w:rPr>
              <w:sz w:val="24"/>
              <w:szCs w:val="24"/>
            </w:rPr>
            <w:fldChar w:fldCharType="separate"/>
          </w:r>
          <w:r>
            <w:rPr>
              <w:rFonts w:hint="eastAsia" w:ascii="Times New Roman" w:hAnsi="Times New Roman" w:cs="Times New Roman"/>
              <w:bCs/>
              <w:sz w:val="24"/>
              <w:szCs w:val="24"/>
              <w:lang w:val="en-US" w:eastAsia="zh-CN"/>
            </w:rPr>
            <w:t>附图3 监测照片</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7</w:t>
          </w:r>
        </w:p>
        <w:p>
          <w:pPr>
            <w:spacing w:line="360" w:lineRule="auto"/>
          </w:pPr>
        </w:p>
      </w:sdtContent>
    </w:sdt>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pStyle w:val="14"/>
        <w:rPr>
          <w:rFonts w:hint="eastAsia" w:ascii="Times New Roman" w:hAnsi="Times New Roman" w:cs="Times New Roman"/>
          <w:b/>
          <w:bCs/>
          <w:sz w:val="28"/>
          <w:szCs w:val="28"/>
          <w:lang w:val="en-US" w:eastAsia="zh-CN"/>
        </w:rPr>
      </w:pPr>
    </w:p>
    <w:p>
      <w:pPr>
        <w:numPr>
          <w:ilvl w:val="0"/>
          <w:numId w:val="0"/>
        </w:numPr>
        <w:spacing w:line="360" w:lineRule="auto"/>
        <w:jc w:val="both"/>
        <w:outlineLvl w:val="0"/>
        <w:rPr>
          <w:rFonts w:hint="eastAsia" w:ascii="Times New Roman" w:hAnsi="Times New Roman" w:cs="Times New Roman"/>
          <w:b/>
          <w:bCs/>
          <w:sz w:val="28"/>
          <w:szCs w:val="28"/>
          <w:lang w:val="en-US"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0" w:name="_Toc13489"/>
    </w:p>
    <w:p>
      <w:pPr>
        <w:numPr>
          <w:ilvl w:val="0"/>
          <w:numId w:val="0"/>
        </w:numPr>
        <w:spacing w:line="360" w:lineRule="auto"/>
        <w:jc w:val="both"/>
        <w:outlineLvl w:val="0"/>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一、背景</w:t>
      </w:r>
      <w:bookmarkEnd w:id="0"/>
    </w:p>
    <w:p>
      <w:pPr>
        <w:numPr>
          <w:ilvl w:val="0"/>
          <w:numId w:val="0"/>
        </w:numPr>
        <w:spacing w:line="360" w:lineRule="auto"/>
        <w:ind w:firstLine="480" w:firstLineChars="20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24"/>
          <w:lang w:val="en-US" w:eastAsia="zh-CN"/>
        </w:rPr>
        <w:t>为贯彻落实</w:t>
      </w:r>
      <w:r>
        <w:rPr>
          <w:rFonts w:hint="default" w:ascii="Times New Roman" w:hAnsi="Times New Roman" w:cs="Times New Roman"/>
          <w:b w:val="0"/>
          <w:bCs w:val="0"/>
          <w:sz w:val="24"/>
          <w:szCs w:val="32"/>
          <w:lang w:val="en-US" w:eastAsia="zh-CN"/>
        </w:rPr>
        <w:t>《土壤污染防治行动计划》、《吉林省清洁土壤行动计划》、《吉林省土壤环境重点监管企业自行监测技术指南（暂行）》的要求，切实推进吉林省土壤污染防治工作。排查土壤污染防患，对具有土壤或地下水污染隐患的区域，如有毒有害物质的生产区，原材料或固体废物的堆放区、储运区和转运区等开展自查工作。</w:t>
      </w:r>
    </w:p>
    <w:p>
      <w:pPr>
        <w:numPr>
          <w:ilvl w:val="0"/>
          <w:numId w:val="0"/>
        </w:numPr>
        <w:spacing w:line="360" w:lineRule="auto"/>
        <w:jc w:val="both"/>
        <w:outlineLvl w:val="0"/>
        <w:rPr>
          <w:rFonts w:hint="eastAsia" w:ascii="Times New Roman" w:hAnsi="Times New Roman" w:cs="Times New Roman"/>
          <w:b/>
          <w:bCs/>
          <w:sz w:val="28"/>
          <w:szCs w:val="28"/>
          <w:lang w:val="en-US" w:eastAsia="zh-CN"/>
        </w:rPr>
      </w:pPr>
      <w:bookmarkStart w:id="1" w:name="_Toc28029"/>
      <w:bookmarkStart w:id="2" w:name="_Toc21259"/>
      <w:r>
        <w:rPr>
          <w:rFonts w:hint="eastAsia" w:ascii="Times New Roman" w:hAnsi="Times New Roman" w:cs="Times New Roman"/>
          <w:b/>
          <w:bCs/>
          <w:sz w:val="28"/>
          <w:szCs w:val="28"/>
          <w:lang w:val="en-US" w:eastAsia="zh-CN"/>
        </w:rPr>
        <w:t>二、编制目的</w:t>
      </w:r>
      <w:bookmarkEnd w:id="1"/>
      <w:bookmarkEnd w:id="2"/>
    </w:p>
    <w:p>
      <w:pPr>
        <w:numPr>
          <w:ilvl w:val="0"/>
          <w:numId w:val="0"/>
        </w:numPr>
        <w:spacing w:line="360" w:lineRule="auto"/>
        <w:ind w:firstLine="480" w:firstLineChars="20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在长春市报废汽车回收中心有限公司正常或非正常生产情况下，可能会对环境带来一定的影响，造成场地土壤污染，导致该区域内或周边人群在未来的土地利用方式下承受不可接受的人体健康风险。因此，开展土壤检测的目的在于通过对长春市报废汽车回收中心有限公司厂内及厂界外土壤、地下水污染状况调查与检测，初步识别企业生产过程中是否对土壤造成污染。</w:t>
      </w:r>
    </w:p>
    <w:p>
      <w:pPr>
        <w:numPr>
          <w:ilvl w:val="0"/>
          <w:numId w:val="0"/>
        </w:numPr>
        <w:spacing w:line="360" w:lineRule="auto"/>
        <w:jc w:val="both"/>
        <w:outlineLvl w:val="0"/>
        <w:rPr>
          <w:rFonts w:hint="eastAsia" w:ascii="Times New Roman" w:hAnsi="Times New Roman" w:cs="Times New Roman"/>
          <w:b/>
          <w:bCs/>
          <w:sz w:val="28"/>
          <w:szCs w:val="28"/>
          <w:lang w:val="en-US" w:eastAsia="zh-CN"/>
        </w:rPr>
      </w:pPr>
      <w:bookmarkStart w:id="3" w:name="_Toc8832"/>
      <w:bookmarkStart w:id="4" w:name="_Toc22975"/>
      <w:r>
        <w:rPr>
          <w:rFonts w:hint="eastAsia" w:ascii="Times New Roman" w:hAnsi="Times New Roman" w:cs="Times New Roman"/>
          <w:b/>
          <w:bCs/>
          <w:sz w:val="28"/>
          <w:szCs w:val="28"/>
          <w:lang w:val="en-US" w:eastAsia="zh-CN"/>
        </w:rPr>
        <w:t>三、编制原则</w:t>
      </w:r>
      <w:bookmarkEnd w:id="3"/>
      <w:bookmarkEnd w:id="4"/>
    </w:p>
    <w:p>
      <w:pPr>
        <w:numPr>
          <w:ilvl w:val="0"/>
          <w:numId w:val="0"/>
        </w:numPr>
        <w:spacing w:line="360" w:lineRule="auto"/>
        <w:ind w:left="240" w:leftChars="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1、遵循国家法规、技术导则和规范原则</w:t>
      </w:r>
    </w:p>
    <w:p>
      <w:pPr>
        <w:numPr>
          <w:ilvl w:val="0"/>
          <w:numId w:val="0"/>
        </w:numPr>
        <w:spacing w:line="360" w:lineRule="auto"/>
        <w:ind w:left="240" w:leftChars="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2、基于特定生产场地的布点原则</w:t>
      </w:r>
    </w:p>
    <w:p>
      <w:pPr>
        <w:numPr>
          <w:ilvl w:val="0"/>
          <w:numId w:val="0"/>
        </w:numPr>
        <w:spacing w:line="360" w:lineRule="auto"/>
        <w:ind w:left="240" w:leftChars="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3、科学性原则</w:t>
      </w:r>
    </w:p>
    <w:p>
      <w:pPr>
        <w:numPr>
          <w:ilvl w:val="0"/>
          <w:numId w:val="0"/>
        </w:numPr>
        <w:spacing w:line="360" w:lineRule="auto"/>
        <w:ind w:left="240" w:leftChars="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4、安全性原则</w:t>
      </w:r>
    </w:p>
    <w:p>
      <w:pPr>
        <w:numPr>
          <w:ilvl w:val="0"/>
          <w:numId w:val="0"/>
        </w:numPr>
        <w:spacing w:line="360" w:lineRule="auto"/>
        <w:ind w:left="240" w:leftChars="0"/>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5、经济性原则</w:t>
      </w:r>
    </w:p>
    <w:p>
      <w:pPr>
        <w:numPr>
          <w:ilvl w:val="0"/>
          <w:numId w:val="0"/>
        </w:numPr>
        <w:spacing w:line="360" w:lineRule="auto"/>
        <w:jc w:val="both"/>
        <w:outlineLvl w:val="0"/>
        <w:rPr>
          <w:rFonts w:hint="eastAsia" w:ascii="Times New Roman" w:hAnsi="Times New Roman" w:cs="Times New Roman"/>
          <w:b/>
          <w:bCs/>
          <w:sz w:val="28"/>
          <w:szCs w:val="28"/>
          <w:lang w:val="en-US" w:eastAsia="zh-CN"/>
        </w:rPr>
      </w:pPr>
      <w:bookmarkStart w:id="5" w:name="_Toc25068"/>
      <w:bookmarkStart w:id="6" w:name="_Toc5360"/>
      <w:r>
        <w:rPr>
          <w:rFonts w:hint="eastAsia" w:ascii="Times New Roman" w:hAnsi="Times New Roman" w:cs="Times New Roman"/>
          <w:b/>
          <w:bCs/>
          <w:sz w:val="28"/>
          <w:szCs w:val="28"/>
          <w:lang w:val="en-US" w:eastAsia="zh-CN"/>
        </w:rPr>
        <w:t>四、编制依据</w:t>
      </w:r>
      <w:bookmarkEnd w:id="5"/>
      <w:bookmarkEnd w:id="6"/>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7" w:name="_Toc14890"/>
      <w:bookmarkStart w:id="8" w:name="_Toc15291"/>
      <w:r>
        <w:rPr>
          <w:rFonts w:hint="eastAsia" w:ascii="Times New Roman" w:hAnsi="Times New Roman" w:cs="Times New Roman"/>
          <w:b/>
          <w:bCs/>
          <w:sz w:val="24"/>
          <w:szCs w:val="24"/>
          <w:lang w:val="en-US" w:eastAsia="zh-CN"/>
        </w:rPr>
        <w:t>1、国家相关法律法规和政策</w:t>
      </w:r>
      <w:bookmarkEnd w:id="7"/>
      <w:bookmarkEnd w:id="8"/>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（1）《中华人民共和国环境保护法》（2015年1月1日）；</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（2）《中华人民共和国土地管理法》(2004年8月28日)；</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（3）《中华人民共和国固体废物污染环境防治法》（2016年11月7日第三次修订）；</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（4）《土壤环境保护和污染治理行动计划》（2016年5月28日）；</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（5）《土壤污染防治行动计划》（国发〔2016〕31号）；</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（6）《关于加强土壤污染防治工作的意见》（环发[2008]48号）；</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（7）《吉林省清洁土壤行动计划》（吉政发〔2016〕40号）；</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（8）《吉林省环境保护条例》（2001年）；</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（9）《吉林省土壤环境质量与污染状况调查报告》（2010年）；</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（10）《长春市落实土壤污染防治行动计划工作方案》（长府发[2017]4号）；</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（11）《吉林省环境保护厅关于印发&lt;吉林省土壤环境重点监管企业自行监测技术指南(暂行)&gt;的通知》（吉环农字[2018]28号）。</w:t>
      </w:r>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9" w:name="_Toc526"/>
      <w:bookmarkStart w:id="10" w:name="_Toc16823"/>
      <w:r>
        <w:rPr>
          <w:rFonts w:hint="eastAsia" w:ascii="Times New Roman" w:hAnsi="Times New Roman" w:cs="Times New Roman"/>
          <w:b/>
          <w:bCs/>
          <w:sz w:val="24"/>
          <w:szCs w:val="24"/>
          <w:lang w:val="en-US" w:eastAsia="zh-CN"/>
        </w:rPr>
        <w:t>2、相关导则和规范</w:t>
      </w:r>
      <w:bookmarkEnd w:id="9"/>
      <w:bookmarkEnd w:id="10"/>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（1）《场地环境调查技术导则》（HJ25.1-2014）；</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（2）《场地环境监测技术导则》（HJ25.2-2014）；</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（3）《土壤环境质量 建设用地土壤污染风险管控标准（试行）》（GB36600-2018）；</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（4）《土壤环境质量-农用地土壤污染风险管控标准》（GB15618-2018）</w:t>
      </w:r>
    </w:p>
    <w:p>
      <w:pPr>
        <w:numPr>
          <w:ilvl w:val="0"/>
          <w:numId w:val="0"/>
        </w:numPr>
        <w:spacing w:line="360" w:lineRule="auto"/>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（5）《土壤环境监测技术规范》（HJ/T166-2004）。</w:t>
      </w:r>
    </w:p>
    <w:p>
      <w:pPr>
        <w:numPr>
          <w:ilvl w:val="0"/>
          <w:numId w:val="0"/>
        </w:numPr>
        <w:spacing w:line="360" w:lineRule="auto"/>
        <w:jc w:val="both"/>
        <w:outlineLvl w:val="0"/>
        <w:rPr>
          <w:rFonts w:hint="eastAsia" w:ascii="Times New Roman" w:hAnsi="Times New Roman" w:cs="Times New Roman"/>
          <w:b/>
          <w:bCs/>
          <w:sz w:val="28"/>
          <w:szCs w:val="28"/>
          <w:lang w:val="en-US" w:eastAsia="zh-CN"/>
        </w:rPr>
      </w:pPr>
      <w:bookmarkStart w:id="11" w:name="_Toc30267"/>
      <w:bookmarkStart w:id="12" w:name="_Toc15386"/>
      <w:r>
        <w:rPr>
          <w:rFonts w:hint="eastAsia" w:ascii="Times New Roman" w:hAnsi="Times New Roman" w:cs="Times New Roman"/>
          <w:b/>
          <w:bCs/>
          <w:sz w:val="28"/>
          <w:szCs w:val="28"/>
          <w:lang w:val="en-US" w:eastAsia="zh-CN"/>
        </w:rPr>
        <w:t>五、企业基本信息调查</w:t>
      </w:r>
      <w:bookmarkEnd w:id="11"/>
      <w:bookmarkEnd w:id="12"/>
    </w:p>
    <w:p>
      <w:pPr>
        <w:numPr>
          <w:ilvl w:val="0"/>
          <w:numId w:val="0"/>
        </w:numPr>
        <w:spacing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长春市报废汽车回收中心有限公司原名为长春市报废汽车回收中心，成立于1991年。2012年10月，经长春市国资委批准，进行公司制改造，2013年7月1日，公司制改完成，更名为长春市报废汽车回收中心有限公司。企业性质为国有，注册资本800万元。公司主要营业业务：回收报废汽车（客车、货车、轿车、摩托车）、废旧金属、金属材料、废旧物资再生利用。</w:t>
      </w:r>
    </w:p>
    <w:p>
      <w:pPr>
        <w:numPr>
          <w:ilvl w:val="0"/>
          <w:numId w:val="0"/>
        </w:numPr>
        <w:spacing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公司占地面积3.1万平方米、建筑面积1.7万平方米。各种机械设备包括汽车拆解设备、运输车辆。废旧物资处理设备约20台。目前年回收拆解能力2000-4000辆。公司技术改造完成后，年回收拆解能力可达到15-20万辆，企业将成为吉林省最大的现代化报废汽车回收拆解中心。</w:t>
      </w:r>
    </w:p>
    <w:p>
      <w:pPr>
        <w:numPr>
          <w:ilvl w:val="0"/>
          <w:numId w:val="1"/>
        </w:numPr>
        <w:spacing w:line="360" w:lineRule="auto"/>
        <w:jc w:val="both"/>
        <w:outlineLvl w:val="0"/>
        <w:rPr>
          <w:rFonts w:hint="eastAsia" w:ascii="Times New Roman" w:hAnsi="Times New Roman" w:cs="Times New Roman"/>
          <w:b/>
          <w:bCs/>
          <w:sz w:val="28"/>
          <w:szCs w:val="28"/>
          <w:lang w:val="en-US" w:eastAsia="zh-CN"/>
        </w:rPr>
      </w:pPr>
      <w:bookmarkStart w:id="13" w:name="_Toc28547"/>
      <w:bookmarkStart w:id="14" w:name="_Toc17209"/>
      <w:r>
        <w:rPr>
          <w:rFonts w:hint="eastAsia" w:ascii="Times New Roman" w:hAnsi="Times New Roman" w:cs="Times New Roman"/>
          <w:b/>
          <w:bCs/>
          <w:sz w:val="28"/>
          <w:szCs w:val="28"/>
          <w:lang w:val="en-US" w:eastAsia="zh-CN"/>
        </w:rPr>
        <w:t>监测方案</w:t>
      </w:r>
      <w:bookmarkEnd w:id="13"/>
      <w:bookmarkEnd w:id="14"/>
    </w:p>
    <w:p>
      <w:pPr>
        <w:numPr>
          <w:ilvl w:val="0"/>
          <w:numId w:val="0"/>
        </w:numPr>
        <w:spacing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根据《吉林省环境保护厅关于印发&lt;吉林省土壤环境重点监管企业自行监测技术指南(暂行)&gt;的通知》（吉环农字[2018]28号）要求，参照《土壤环境质量 建设用地土壤污染风险管控标准（试行）》（GB36600-2018）和《地下水质量标准》GB/T14848-2017），根据委托方要求，拟按以下方案对土壤和地下水进行采样检测：</w:t>
      </w:r>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15" w:name="_Toc8909"/>
      <w:bookmarkStart w:id="16" w:name="_Toc11404"/>
      <w:r>
        <w:rPr>
          <w:rFonts w:hint="eastAsia" w:ascii="Times New Roman" w:hAnsi="Times New Roman" w:cs="Times New Roman"/>
          <w:b/>
          <w:bCs/>
          <w:sz w:val="24"/>
          <w:szCs w:val="24"/>
          <w:lang w:val="en-US" w:eastAsia="zh-CN"/>
        </w:rPr>
        <w:t>1、土壤</w:t>
      </w:r>
      <w:bookmarkEnd w:id="15"/>
      <w:bookmarkEnd w:id="16"/>
    </w:p>
    <w:p>
      <w:pPr>
        <w:numPr>
          <w:ilvl w:val="0"/>
          <w:numId w:val="2"/>
        </w:numPr>
        <w:spacing w:line="360" w:lineRule="auto"/>
        <w:jc w:val="both"/>
        <w:outlineLvl w:val="2"/>
        <w:rPr>
          <w:rFonts w:hint="eastAsia" w:ascii="Times New Roman" w:hAnsi="Times New Roman" w:cs="Times New Roman"/>
          <w:b w:val="0"/>
          <w:bCs w:val="0"/>
          <w:sz w:val="24"/>
          <w:szCs w:val="24"/>
          <w:lang w:val="en-US" w:eastAsia="zh-CN"/>
        </w:rPr>
      </w:pPr>
      <w:bookmarkStart w:id="17" w:name="_Toc24028"/>
      <w:bookmarkStart w:id="18" w:name="_Toc15314"/>
      <w:bookmarkStart w:id="19" w:name="_Toc16848"/>
      <w:r>
        <w:rPr>
          <w:rFonts w:hint="eastAsia" w:ascii="Times New Roman" w:hAnsi="Times New Roman" w:cs="Times New Roman"/>
          <w:b w:val="0"/>
          <w:bCs w:val="0"/>
          <w:sz w:val="24"/>
          <w:szCs w:val="24"/>
          <w:lang w:val="en-US" w:eastAsia="zh-CN"/>
        </w:rPr>
        <w:t>监测点位</w:t>
      </w:r>
      <w:bookmarkEnd w:id="17"/>
      <w:bookmarkEnd w:id="18"/>
      <w:bookmarkEnd w:id="19"/>
    </w:p>
    <w:p>
      <w:pPr>
        <w:numPr>
          <w:ilvl w:val="0"/>
          <w:numId w:val="0"/>
        </w:numPr>
        <w:spacing w:line="360" w:lineRule="auto"/>
        <w:jc w:val="both"/>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b w:val="0"/>
          <w:bCs w:val="0"/>
          <w:sz w:val="24"/>
          <w:szCs w:val="24"/>
          <w:lang w:val="en-US" w:eastAsia="zh-CN"/>
        </w:rPr>
        <w:t xml:space="preserve">   对于非生产区，土壤布点应优先选择在疑似污染源所在重点区域和设施位置。对于企业正常生产且不造成安全隐患与二次污染的情况下尽可能接近污染源。如上述位置不具备采样条件，应在污染物迁移的下游方向就近选择布点位置。由于企业厂区地面现已全面硬化覆盖，不具备采样条件，所以在污染物迁移的下游方向布设采样点，具体情况见附图1。</w:t>
      </w:r>
    </w:p>
    <w:p>
      <w:pPr>
        <w:numPr>
          <w:ilvl w:val="0"/>
          <w:numId w:val="0"/>
        </w:numPr>
        <w:spacing w:line="360" w:lineRule="auto"/>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表1 土壤监测点位布置图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728"/>
        <w:gridCol w:w="324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1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序号</w:t>
            </w:r>
          </w:p>
        </w:tc>
        <w:tc>
          <w:tcPr>
            <w:tcW w:w="2728" w:type="dxa"/>
            <w:tcBorders>
              <w:top w:val="single" w:color="auto" w:sz="1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监测点位</w:t>
            </w:r>
          </w:p>
        </w:tc>
        <w:tc>
          <w:tcPr>
            <w:tcW w:w="3245" w:type="dxa"/>
            <w:tcBorders>
              <w:top w:val="single" w:color="auto" w:sz="1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监测点位描述</w:t>
            </w:r>
          </w:p>
        </w:tc>
        <w:tc>
          <w:tcPr>
            <w:tcW w:w="1785" w:type="dxa"/>
            <w:tcBorders>
              <w:top w:val="single" w:color="auto" w:sz="12" w:space="0"/>
              <w:left w:val="single" w:color="auto" w:sz="2" w:space="0"/>
              <w:bottom w:val="single" w:color="auto" w:sz="2" w:space="0"/>
              <w:right w:val="nil"/>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采样深度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p>
        </w:tc>
        <w:tc>
          <w:tcPr>
            <w:tcW w:w="2728"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杨家小区</w:t>
            </w:r>
          </w:p>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E12</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27</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03</w:t>
            </w:r>
            <w:r>
              <w:rPr>
                <w:rFonts w:hint="default" w:ascii="Times New Roman" w:hAnsi="Times New Roman" w:cs="Times New Roman"/>
                <w:b w:val="0"/>
                <w:bCs w:val="0"/>
                <w:sz w:val="21"/>
                <w:szCs w:val="21"/>
                <w:vertAlign w:val="baseline"/>
                <w:lang w:val="en-US" w:eastAsia="zh-CN"/>
              </w:rPr>
              <w:t>″，N</w:t>
            </w:r>
            <w:r>
              <w:rPr>
                <w:rFonts w:hint="eastAsia" w:ascii="Times New Roman" w:hAnsi="Times New Roman" w:cs="Times New Roman"/>
                <w:b w:val="0"/>
                <w:bCs w:val="0"/>
                <w:sz w:val="21"/>
                <w:szCs w:val="21"/>
                <w:vertAlign w:val="baseline"/>
                <w:lang w:val="en-US" w:eastAsia="zh-CN"/>
              </w:rPr>
              <w:t>43</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09</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19</w:t>
            </w:r>
            <w:r>
              <w:rPr>
                <w:rFonts w:hint="default" w:ascii="Times New Roman" w:hAnsi="Times New Roman" w:cs="Times New Roman"/>
                <w:b w:val="0"/>
                <w:bCs w:val="0"/>
                <w:sz w:val="21"/>
                <w:szCs w:val="21"/>
                <w:vertAlign w:val="baseline"/>
                <w:lang w:val="en-US" w:eastAsia="zh-CN"/>
              </w:rPr>
              <w:t>″</w:t>
            </w:r>
          </w:p>
        </w:tc>
        <w:tc>
          <w:tcPr>
            <w:tcW w:w="3245"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了解项目背景土壤环境质量现状</w:t>
            </w:r>
          </w:p>
        </w:tc>
        <w:tc>
          <w:tcPr>
            <w:tcW w:w="1785" w:type="dxa"/>
            <w:vMerge w:val="restart"/>
            <w:tcBorders>
              <w:top w:val="single" w:color="auto" w:sz="2" w:space="0"/>
              <w:left w:val="single" w:color="auto" w:sz="2" w:space="0"/>
              <w:bottom w:val="single" w:color="auto" w:sz="12" w:space="0"/>
              <w:right w:val="nil"/>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p>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p>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p>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p>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p>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20cm</w:t>
            </w:r>
          </w:p>
          <w:p>
            <w:pPr>
              <w:pStyle w:val="14"/>
              <w:jc w:val="center"/>
              <w:rPr>
                <w:rFonts w:hint="eastAsia" w:ascii="Times New Roman" w:cs="Times New Roman"/>
                <w:b w:val="0"/>
                <w:bCs w:val="0"/>
                <w:sz w:val="21"/>
                <w:szCs w:val="21"/>
                <w:vertAlign w:val="baseline"/>
                <w:lang w:val="en-US" w:eastAsia="zh-CN"/>
              </w:rPr>
            </w:pPr>
          </w:p>
          <w:p>
            <w:pPr>
              <w:pStyle w:val="14"/>
              <w:jc w:val="center"/>
              <w:rPr>
                <w:rFonts w:hint="default"/>
                <w:lang w:val="en-US" w:eastAsia="zh-CN"/>
              </w:rPr>
            </w:pPr>
            <w:r>
              <w:rPr>
                <w:rFonts w:hint="eastAsia" w:ascii="Times New Roman" w:cs="Times New Roman"/>
                <w:b w:val="0"/>
                <w:bCs w:val="0"/>
                <w:sz w:val="21"/>
                <w:szCs w:val="21"/>
                <w:vertAlign w:val="baseline"/>
                <w:lang w:val="en-US" w:eastAsia="zh-CN"/>
              </w:rPr>
              <w:t>50cm</w:t>
            </w:r>
          </w:p>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2</w:t>
            </w:r>
          </w:p>
        </w:tc>
        <w:tc>
          <w:tcPr>
            <w:tcW w:w="2728"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 下风向厂界东北侧</w:t>
            </w:r>
          </w:p>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E12</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28</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21</w:t>
            </w:r>
            <w:r>
              <w:rPr>
                <w:rFonts w:hint="default" w:ascii="Times New Roman" w:hAnsi="Times New Roman" w:cs="Times New Roman"/>
                <w:b w:val="0"/>
                <w:bCs w:val="0"/>
                <w:sz w:val="21"/>
                <w:szCs w:val="21"/>
                <w:vertAlign w:val="baseline"/>
                <w:lang w:val="en-US" w:eastAsia="zh-CN"/>
              </w:rPr>
              <w:t>″，N</w:t>
            </w:r>
            <w:r>
              <w:rPr>
                <w:rFonts w:hint="eastAsia" w:ascii="Times New Roman" w:hAnsi="Times New Roman" w:cs="Times New Roman"/>
                <w:b w:val="0"/>
                <w:bCs w:val="0"/>
                <w:sz w:val="21"/>
                <w:szCs w:val="21"/>
                <w:vertAlign w:val="baseline"/>
                <w:lang w:val="en-US" w:eastAsia="zh-CN"/>
              </w:rPr>
              <w:t>43</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09</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23</w:t>
            </w:r>
            <w:r>
              <w:rPr>
                <w:rFonts w:hint="default" w:ascii="Times New Roman" w:hAnsi="Times New Roman" w:cs="Times New Roman"/>
                <w:b w:val="0"/>
                <w:bCs w:val="0"/>
                <w:sz w:val="21"/>
                <w:szCs w:val="21"/>
                <w:vertAlign w:val="baseline"/>
                <w:lang w:val="en-US" w:eastAsia="zh-CN"/>
              </w:rPr>
              <w:t>″</w:t>
            </w:r>
          </w:p>
        </w:tc>
        <w:tc>
          <w:tcPr>
            <w:tcW w:w="3245"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了解重点区域土壤环境质量现状</w:t>
            </w:r>
          </w:p>
        </w:tc>
        <w:tc>
          <w:tcPr>
            <w:tcW w:w="1785" w:type="dxa"/>
            <w:vMerge w:val="continue"/>
            <w:tcBorders>
              <w:top w:val="single" w:color="auto" w:sz="12" w:space="0"/>
              <w:left w:val="single" w:color="auto" w:sz="2" w:space="0"/>
              <w:bottom w:val="single" w:color="auto" w:sz="12" w:space="0"/>
              <w:right w:val="nil"/>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3</w:t>
            </w:r>
          </w:p>
        </w:tc>
        <w:tc>
          <w:tcPr>
            <w:tcW w:w="2728"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 下风向厂界东北侧</w:t>
            </w:r>
          </w:p>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E12</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28</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22</w:t>
            </w:r>
            <w:r>
              <w:rPr>
                <w:rFonts w:hint="default" w:ascii="Times New Roman" w:hAnsi="Times New Roman" w:cs="Times New Roman"/>
                <w:b w:val="0"/>
                <w:bCs w:val="0"/>
                <w:sz w:val="21"/>
                <w:szCs w:val="21"/>
                <w:vertAlign w:val="baseline"/>
                <w:lang w:val="en-US" w:eastAsia="zh-CN"/>
              </w:rPr>
              <w:t>″，N4</w:t>
            </w:r>
            <w:r>
              <w:rPr>
                <w:rFonts w:hint="eastAsia" w:ascii="Times New Roman" w:hAnsi="Times New Roman" w:cs="Times New Roman"/>
                <w:b w:val="0"/>
                <w:bCs w:val="0"/>
                <w:sz w:val="21"/>
                <w:szCs w:val="21"/>
                <w:vertAlign w:val="baseline"/>
                <w:lang w:val="en-US" w:eastAsia="zh-CN"/>
              </w:rPr>
              <w:t>3</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09</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28</w:t>
            </w:r>
            <w:r>
              <w:rPr>
                <w:rFonts w:hint="default" w:ascii="Times New Roman" w:hAnsi="Times New Roman" w:cs="Times New Roman"/>
                <w:b w:val="0"/>
                <w:bCs w:val="0"/>
                <w:sz w:val="21"/>
                <w:szCs w:val="21"/>
                <w:vertAlign w:val="baseline"/>
                <w:lang w:val="en-US" w:eastAsia="zh-CN"/>
              </w:rPr>
              <w:t>″</w:t>
            </w:r>
          </w:p>
        </w:tc>
        <w:tc>
          <w:tcPr>
            <w:tcW w:w="3245"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了解重点区域土壤环境质量现状</w:t>
            </w:r>
          </w:p>
        </w:tc>
        <w:tc>
          <w:tcPr>
            <w:tcW w:w="1785" w:type="dxa"/>
            <w:vMerge w:val="continue"/>
            <w:tcBorders>
              <w:top w:val="single" w:color="auto" w:sz="12" w:space="0"/>
              <w:left w:val="single" w:color="auto" w:sz="2" w:space="0"/>
              <w:bottom w:val="single" w:color="auto" w:sz="12" w:space="0"/>
              <w:right w:val="nil"/>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c>
          <w:tcPr>
            <w:tcW w:w="2728"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 下风向厂界东北侧</w:t>
            </w:r>
          </w:p>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E12</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28</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23</w:t>
            </w:r>
            <w:r>
              <w:rPr>
                <w:rFonts w:hint="default" w:ascii="Times New Roman" w:hAnsi="Times New Roman" w:cs="Times New Roman"/>
                <w:b w:val="0"/>
                <w:bCs w:val="0"/>
                <w:sz w:val="21"/>
                <w:szCs w:val="21"/>
                <w:vertAlign w:val="baseline"/>
                <w:lang w:val="en-US" w:eastAsia="zh-CN"/>
              </w:rPr>
              <w:t>″，N4</w:t>
            </w:r>
            <w:r>
              <w:rPr>
                <w:rFonts w:hint="eastAsia" w:ascii="Times New Roman" w:hAnsi="Times New Roman" w:cs="Times New Roman"/>
                <w:b w:val="0"/>
                <w:bCs w:val="0"/>
                <w:sz w:val="21"/>
                <w:szCs w:val="21"/>
                <w:vertAlign w:val="baseline"/>
                <w:lang w:val="en-US" w:eastAsia="zh-CN"/>
              </w:rPr>
              <w:t>3</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09</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23</w:t>
            </w:r>
            <w:r>
              <w:rPr>
                <w:rFonts w:hint="default" w:ascii="Times New Roman" w:hAnsi="Times New Roman" w:cs="Times New Roman"/>
                <w:b w:val="0"/>
                <w:bCs w:val="0"/>
                <w:sz w:val="21"/>
                <w:szCs w:val="21"/>
                <w:vertAlign w:val="baseline"/>
                <w:lang w:val="en-US" w:eastAsia="zh-CN"/>
              </w:rPr>
              <w:t>″</w:t>
            </w:r>
          </w:p>
        </w:tc>
        <w:tc>
          <w:tcPr>
            <w:tcW w:w="3245"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了解重点区域土壤环境质量现状</w:t>
            </w:r>
          </w:p>
        </w:tc>
        <w:tc>
          <w:tcPr>
            <w:tcW w:w="1785" w:type="dxa"/>
            <w:vMerge w:val="continue"/>
            <w:tcBorders>
              <w:top w:val="single" w:color="auto" w:sz="12" w:space="0"/>
              <w:left w:val="single" w:color="auto" w:sz="2" w:space="0"/>
              <w:bottom w:val="single" w:color="auto" w:sz="12" w:space="0"/>
              <w:right w:val="nil"/>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w:t>
            </w:r>
          </w:p>
        </w:tc>
        <w:tc>
          <w:tcPr>
            <w:tcW w:w="2728"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厂区外东侧</w:t>
            </w:r>
          </w:p>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E12</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28</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23</w:t>
            </w:r>
            <w:r>
              <w:rPr>
                <w:rFonts w:hint="default" w:ascii="Times New Roman" w:hAnsi="Times New Roman" w:cs="Times New Roman"/>
                <w:b w:val="0"/>
                <w:bCs w:val="0"/>
                <w:sz w:val="21"/>
                <w:szCs w:val="21"/>
                <w:vertAlign w:val="baseline"/>
                <w:lang w:val="en-US" w:eastAsia="zh-CN"/>
              </w:rPr>
              <w:t>″，N4</w:t>
            </w:r>
            <w:r>
              <w:rPr>
                <w:rFonts w:hint="eastAsia" w:ascii="Times New Roman" w:hAnsi="Times New Roman" w:cs="Times New Roman"/>
                <w:b w:val="0"/>
                <w:bCs w:val="0"/>
                <w:sz w:val="21"/>
                <w:szCs w:val="21"/>
                <w:vertAlign w:val="baseline"/>
                <w:lang w:val="en-US" w:eastAsia="zh-CN"/>
              </w:rPr>
              <w:t>3</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09</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22</w:t>
            </w:r>
            <w:r>
              <w:rPr>
                <w:rFonts w:hint="default" w:ascii="Times New Roman" w:hAnsi="Times New Roman" w:cs="Times New Roman"/>
                <w:b w:val="0"/>
                <w:bCs w:val="0"/>
                <w:sz w:val="21"/>
                <w:szCs w:val="21"/>
                <w:vertAlign w:val="baseline"/>
                <w:lang w:val="en-US" w:eastAsia="zh-CN"/>
              </w:rPr>
              <w:t>″</w:t>
            </w:r>
          </w:p>
        </w:tc>
        <w:tc>
          <w:tcPr>
            <w:tcW w:w="3245" w:type="dxa"/>
            <w:tcBorders>
              <w:top w:val="single" w:color="auto" w:sz="2" w:space="0"/>
              <w:left w:val="single" w:color="auto" w:sz="2" w:space="0"/>
              <w:bottom w:val="single" w:color="auto" w:sz="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了解重点区域土壤环境质量现状</w:t>
            </w:r>
          </w:p>
        </w:tc>
        <w:tc>
          <w:tcPr>
            <w:tcW w:w="1785" w:type="dxa"/>
            <w:vMerge w:val="continue"/>
            <w:tcBorders>
              <w:top w:val="single" w:color="auto" w:sz="12" w:space="0"/>
              <w:left w:val="single" w:color="auto" w:sz="2" w:space="0"/>
              <w:bottom w:val="single" w:color="auto" w:sz="12" w:space="0"/>
              <w:right w:val="nil"/>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nil"/>
              <w:bottom w:val="single" w:color="auto" w:sz="12" w:space="0"/>
              <w:right w:val="single" w:color="auto" w:sz="2" w:space="0"/>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w:t>
            </w:r>
          </w:p>
        </w:tc>
        <w:tc>
          <w:tcPr>
            <w:tcW w:w="2728" w:type="dxa"/>
            <w:tcBorders>
              <w:top w:val="single" w:color="auto" w:sz="2" w:space="0"/>
              <w:left w:val="single" w:color="auto" w:sz="2" w:space="0"/>
              <w:bottom w:val="single" w:color="auto" w:sz="1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厂区外东侧</w:t>
            </w:r>
          </w:p>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E12</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28</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23</w:t>
            </w:r>
            <w:r>
              <w:rPr>
                <w:rFonts w:hint="default" w:ascii="Times New Roman" w:hAnsi="Times New Roman" w:cs="Times New Roman"/>
                <w:b w:val="0"/>
                <w:bCs w:val="0"/>
                <w:sz w:val="21"/>
                <w:szCs w:val="21"/>
                <w:vertAlign w:val="baseline"/>
                <w:lang w:val="en-US" w:eastAsia="zh-CN"/>
              </w:rPr>
              <w:t>″，N</w:t>
            </w:r>
            <w:r>
              <w:rPr>
                <w:rFonts w:hint="eastAsia" w:ascii="Times New Roman" w:hAnsi="Times New Roman" w:cs="Times New Roman"/>
                <w:b w:val="0"/>
                <w:bCs w:val="0"/>
                <w:sz w:val="21"/>
                <w:szCs w:val="21"/>
                <w:vertAlign w:val="baseline"/>
                <w:lang w:val="en-US" w:eastAsia="zh-CN"/>
              </w:rPr>
              <w:t>43</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09</w:t>
            </w:r>
            <w:r>
              <w:rPr>
                <w:rFonts w:hint="default"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sz w:val="21"/>
                <w:szCs w:val="21"/>
                <w:vertAlign w:val="baseline"/>
                <w:lang w:val="en-US" w:eastAsia="zh-CN"/>
              </w:rPr>
              <w:t>26</w:t>
            </w:r>
            <w:r>
              <w:rPr>
                <w:rFonts w:hint="default" w:ascii="Times New Roman" w:hAnsi="Times New Roman" w:cs="Times New Roman"/>
                <w:b w:val="0"/>
                <w:bCs w:val="0"/>
                <w:sz w:val="21"/>
                <w:szCs w:val="21"/>
                <w:vertAlign w:val="baseline"/>
                <w:lang w:val="en-US" w:eastAsia="zh-CN"/>
              </w:rPr>
              <w:t>″</w:t>
            </w:r>
          </w:p>
        </w:tc>
        <w:tc>
          <w:tcPr>
            <w:tcW w:w="3245" w:type="dxa"/>
            <w:tcBorders>
              <w:top w:val="single" w:color="auto" w:sz="2" w:space="0"/>
              <w:left w:val="single" w:color="auto" w:sz="2" w:space="0"/>
              <w:bottom w:val="single" w:color="auto" w:sz="12" w:space="0"/>
              <w:right w:val="single" w:color="auto" w:sz="2" w:space="0"/>
            </w:tcBorders>
          </w:tcPr>
          <w:p>
            <w:pPr>
              <w:numPr>
                <w:ilvl w:val="0"/>
                <w:numId w:val="0"/>
              </w:numPr>
              <w:spacing w:line="36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了解重点区域土壤环境质量现状</w:t>
            </w:r>
          </w:p>
        </w:tc>
        <w:tc>
          <w:tcPr>
            <w:tcW w:w="1785" w:type="dxa"/>
            <w:vMerge w:val="continue"/>
            <w:tcBorders>
              <w:top w:val="single" w:color="auto" w:sz="12" w:space="0"/>
              <w:left w:val="single" w:color="auto" w:sz="2" w:space="0"/>
              <w:bottom w:val="single" w:color="auto" w:sz="12" w:space="0"/>
              <w:right w:val="nil"/>
            </w:tcBorders>
          </w:tcPr>
          <w:p>
            <w:pPr>
              <w:numPr>
                <w:ilvl w:val="0"/>
                <w:numId w:val="0"/>
              </w:numPr>
              <w:spacing w:line="360" w:lineRule="auto"/>
              <w:jc w:val="center"/>
              <w:rPr>
                <w:rFonts w:hint="default" w:ascii="Times New Roman" w:hAnsi="Times New Roman" w:cs="Times New Roman" w:eastAsiaTheme="minorEastAsia"/>
                <w:b w:val="0"/>
                <w:bCs w:val="0"/>
                <w:sz w:val="21"/>
                <w:szCs w:val="21"/>
                <w:vertAlign w:val="baseline"/>
                <w:lang w:val="en-US" w:eastAsia="zh-CN"/>
              </w:rPr>
            </w:pPr>
          </w:p>
        </w:tc>
      </w:tr>
    </w:tbl>
    <w:p>
      <w:pPr>
        <w:numPr>
          <w:ilvl w:val="0"/>
          <w:numId w:val="0"/>
        </w:numPr>
        <w:spacing w:line="360" w:lineRule="auto"/>
        <w:jc w:val="both"/>
        <w:outlineLvl w:val="2"/>
        <w:rPr>
          <w:rFonts w:hint="eastAsia" w:ascii="Times New Roman" w:hAnsi="Times New Roman" w:cs="Times New Roman"/>
          <w:b w:val="0"/>
          <w:bCs w:val="0"/>
          <w:sz w:val="24"/>
          <w:szCs w:val="24"/>
          <w:lang w:val="en-US" w:eastAsia="zh-CN"/>
        </w:rPr>
      </w:pPr>
      <w:bookmarkStart w:id="20" w:name="_Toc5710"/>
      <w:bookmarkStart w:id="21" w:name="_Toc30028"/>
      <w:bookmarkStart w:id="22" w:name="_Toc22272"/>
      <w:r>
        <w:rPr>
          <w:rFonts w:hint="eastAsia" w:ascii="Times New Roman" w:hAnsi="Times New Roman" w:cs="Times New Roman"/>
          <w:b w:val="0"/>
          <w:bCs w:val="0"/>
          <w:sz w:val="24"/>
          <w:szCs w:val="24"/>
          <w:lang w:val="en-US" w:eastAsia="zh-CN"/>
        </w:rPr>
        <w:t>（2）监测项目</w:t>
      </w:r>
      <w:bookmarkEnd w:id="20"/>
      <w:bookmarkEnd w:id="21"/>
      <w:bookmarkEnd w:id="22"/>
    </w:p>
    <w:p>
      <w:pPr>
        <w:numPr>
          <w:ilvl w:val="0"/>
          <w:numId w:val="0"/>
        </w:numPr>
        <w:spacing w:line="360" w:lineRule="auto"/>
        <w:ind w:firstLine="480"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监测因子由常规因子和特征因子组成。常规因子参考《土壤环境质量建设用地土壤的污染风险管理控制标准》（GB36600-2018）中限定的常规指标，重点企业依据所在地域土壤特征筛选。特征因子选择由省级地方人民政府环境保护部门依据所属行业和生产工艺认定。</w:t>
      </w:r>
    </w:p>
    <w:p>
      <w:pPr>
        <w:numPr>
          <w:ilvl w:val="0"/>
          <w:numId w:val="0"/>
        </w:numPr>
        <w:spacing w:line="360" w:lineRule="auto"/>
        <w:ind w:firstLine="480"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故本项目监测因子为砷、汞、镉、铅、铬（六价）、铜、镍、锌、苯、甲苯、氯苯、乙苯、苯乙烯、</w:t>
      </w:r>
      <w:r>
        <w:rPr>
          <w:rFonts w:hint="default" w:ascii="Times New Roman" w:hAnsi="Times New Roman" w:cs="Times New Roman"/>
          <w:b w:val="0"/>
          <w:bCs w:val="0"/>
          <w:sz w:val="24"/>
          <w:szCs w:val="24"/>
          <w:lang w:val="en-US" w:eastAsia="zh-CN"/>
        </w:rPr>
        <w:t>间二甲苯+对二甲苯</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邻二甲苯</w:t>
      </w:r>
      <w:r>
        <w:rPr>
          <w:rFonts w:hint="eastAsia" w:ascii="Times New Roman" w:hAnsi="Times New Roman" w:cs="Times New Roman"/>
          <w:b w:val="0"/>
          <w:bCs w:val="0"/>
          <w:sz w:val="24"/>
          <w:szCs w:val="24"/>
          <w:lang w:val="en-US" w:eastAsia="zh-CN"/>
        </w:rPr>
        <w:t>、硝基苯、</w:t>
      </w:r>
      <w:r>
        <w:rPr>
          <w:rFonts w:hint="default" w:ascii="Times New Roman" w:hAnsi="Times New Roman" w:cs="Times New Roman"/>
          <w:b w:val="0"/>
          <w:bCs w:val="0"/>
          <w:sz w:val="24"/>
          <w:szCs w:val="24"/>
          <w:lang w:val="en-US" w:eastAsia="zh-CN"/>
        </w:rPr>
        <w:t>1,2-二氯苯</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1,4-二氯苯</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2-氯酚</w:t>
      </w:r>
      <w:r>
        <w:rPr>
          <w:rFonts w:hint="eastAsia" w:ascii="Times New Roman" w:hAnsi="Times New Roman" w:cs="Times New Roman"/>
          <w:b w:val="0"/>
          <w:bCs w:val="0"/>
          <w:sz w:val="24"/>
          <w:szCs w:val="24"/>
          <w:lang w:val="en-US" w:eastAsia="zh-CN"/>
        </w:rPr>
        <w:t>共19项。具体见下表2。</w:t>
      </w:r>
    </w:p>
    <w:p>
      <w:pPr>
        <w:numPr>
          <w:ilvl w:val="0"/>
          <w:numId w:val="0"/>
        </w:numPr>
        <w:spacing w:line="360" w:lineRule="auto"/>
        <w:jc w:val="center"/>
        <w:rPr>
          <w:rFonts w:hint="eastAsia" w:ascii="Times New Roman" w:hAnsi="Times New Roman" w:cs="Times New Roman"/>
          <w:b w:val="0"/>
          <w:bCs w:val="0"/>
          <w:sz w:val="24"/>
          <w:szCs w:val="32"/>
          <w:lang w:val="en-US" w:eastAsia="zh-CN"/>
        </w:rPr>
      </w:pPr>
      <w:r>
        <w:rPr>
          <w:rFonts w:hint="eastAsia" w:ascii="Times New Roman" w:hAnsi="Times New Roman" w:cs="Times New Roman"/>
          <w:b/>
          <w:bCs/>
          <w:sz w:val="24"/>
          <w:szCs w:val="24"/>
          <w:lang w:val="en-US" w:eastAsia="zh-CN"/>
        </w:rPr>
        <w:t>表2 土壤分析方法汇总表</w:t>
      </w:r>
    </w:p>
    <w:tbl>
      <w:tblPr>
        <w:tblStyle w:val="10"/>
        <w:tblW w:w="8482" w:type="dxa"/>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125"/>
        <w:gridCol w:w="4965"/>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1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序号</w:t>
            </w:r>
          </w:p>
        </w:tc>
        <w:tc>
          <w:tcPr>
            <w:tcW w:w="1125" w:type="dxa"/>
            <w:tcBorders>
              <w:top w:val="single" w:color="auto" w:sz="12" w:space="0"/>
              <w:left w:val="single" w:color="auto" w:sz="2" w:space="0"/>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检测项目</w:t>
            </w:r>
          </w:p>
        </w:tc>
        <w:tc>
          <w:tcPr>
            <w:tcW w:w="4965" w:type="dxa"/>
            <w:tcBorders>
              <w:top w:val="single" w:color="auto" w:sz="12" w:space="0"/>
              <w:left w:val="single" w:color="auto" w:sz="2" w:space="0"/>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检测方法</w:t>
            </w:r>
          </w:p>
        </w:tc>
        <w:tc>
          <w:tcPr>
            <w:tcW w:w="1624" w:type="dxa"/>
            <w:tcBorders>
              <w:top w:val="single" w:color="auto" w:sz="12" w:space="0"/>
              <w:left w:val="single" w:color="auto" w:sz="2" w:space="0"/>
              <w:bottom w:val="single" w:color="auto" w:sz="2" w:space="0"/>
              <w:right w:val="nil"/>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砷</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汞、砷、硒、铋、锑的测定 微波消解原子荧光法 HJ 680-2013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2</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汞</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汞、砷、硒、铋、锑的测定 微波消解原子荧光法 HJ 680-2013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tabs>
                <w:tab w:val="left" w:pos="45"/>
                <w:tab w:val="center" w:pos="602"/>
              </w:tabs>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3</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镉</w:t>
            </w:r>
          </w:p>
        </w:tc>
        <w:tc>
          <w:tcPr>
            <w:tcW w:w="496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土壤质量 铅、镉的测定 石墨炉原子吸收分光光度法 GB/T 17141-1997</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4</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铅</w:t>
            </w:r>
          </w:p>
        </w:tc>
        <w:tc>
          <w:tcPr>
            <w:tcW w:w="496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土壤质量 铅、镉的测定 石墨炉原子吸收分光光度法GB/T 17141-1997</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5</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六价铬</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固体废物 六价铬的测定 碱消解/火焰原子吸收分光光度法 HJ 687-2014</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6</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铜</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铜、锌、铅、镍、铬的测定 火焰原子吸收分光光度法 HJ 491-2019</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7</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镍</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铜、锌、铅、镍、铬的测定 火焰原子吸收分光光度法 HJ 491-2019</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8</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lang w:val="en-US" w:eastAsia="zh-CN"/>
              </w:rPr>
              <w:t>锌</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铜、锌、铅、镍、铬的测定 火焰原子吸收分光光度法 HJ 491-2019</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eastAsia="宋体" w:cs="Times New Roman"/>
                <w:color w:val="auto"/>
                <w:sz w:val="21"/>
                <w:szCs w:val="21"/>
                <w:lang w:val="en-US" w:eastAsia="zh-CN"/>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9</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rPr>
              <w:t>1.6μg/kg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10</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甲苯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rPr>
              <w:t>2.0μg/kg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11</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氯苯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rPr>
              <w:t>1.12μg/kg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12</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乙苯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13</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间二甲苯+对二甲苯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3.6μg/kg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14</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邻二甲苯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15</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苯乙烯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rPr>
              <w:t>1.6μg/kg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16</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1,2-二氯苯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17</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1,4-二氯苯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kern w:val="0"/>
                <w:sz w:val="21"/>
                <w:szCs w:val="21"/>
              </w:rPr>
              <w:t>土壤和沉积物 挥发性有机物的测定 顶空 气相色谱—质谱法HJ 642-2013</w:t>
            </w:r>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18</w:t>
            </w:r>
          </w:p>
        </w:tc>
        <w:tc>
          <w:tcPr>
            <w:tcW w:w="112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硝基苯</w:t>
            </w:r>
          </w:p>
        </w:tc>
        <w:tc>
          <w:tcPr>
            <w:tcW w:w="4965" w:type="dxa"/>
            <w:tcBorders>
              <w:top w:val="single" w:color="auto" w:sz="2" w:space="0"/>
              <w:left w:val="single" w:color="auto" w:sz="2" w:space="0"/>
              <w:bottom w:val="single" w:color="auto" w:sz="2" w:space="0"/>
              <w:right w:val="single" w:color="auto" w:sz="2" w:space="0"/>
            </w:tcBorders>
            <w:vAlign w:val="center"/>
          </w:tcPr>
          <w:p>
            <w:pPr>
              <w:widowControl/>
              <w:shd w:val="clear" w:color="auto" w:fill="FFFFFF"/>
              <w:spacing w:line="240" w:lineRule="auto"/>
              <w:jc w:val="center"/>
              <w:outlineLvl w:val="0"/>
              <w:rPr>
                <w:rFonts w:hint="default" w:ascii="Times New Roman" w:hAnsi="Times New Roman" w:cs="Times New Roman" w:eastAsiaTheme="minorEastAsia"/>
                <w:b w:val="0"/>
                <w:bCs w:val="0"/>
                <w:kern w:val="2"/>
                <w:sz w:val="21"/>
                <w:szCs w:val="21"/>
                <w:vertAlign w:val="baseline"/>
                <w:lang w:val="en-US" w:eastAsia="zh-CN" w:bidi="ar-SA"/>
              </w:rPr>
            </w:pPr>
            <w:bookmarkStart w:id="23" w:name="_Toc1423"/>
            <w:bookmarkStart w:id="24" w:name="_Toc20094"/>
            <w:bookmarkStart w:id="25" w:name="_Toc7068"/>
            <w:r>
              <w:rPr>
                <w:rFonts w:hint="default" w:ascii="Times New Roman" w:hAnsi="Times New Roman" w:cs="Times New Roman" w:eastAsiaTheme="minorEastAsia"/>
                <w:kern w:val="0"/>
                <w:sz w:val="21"/>
                <w:szCs w:val="21"/>
              </w:rPr>
              <w:t>土壤和沉积物 半挥发性有机物的测定 气相色谱-质谱法 HJ 834-2017</w:t>
            </w:r>
            <w:bookmarkEnd w:id="23"/>
            <w:bookmarkEnd w:id="24"/>
            <w:bookmarkEnd w:id="25"/>
          </w:p>
        </w:tc>
        <w:tc>
          <w:tcPr>
            <w:tcW w:w="1624"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Borders>
              <w:top w:val="single" w:color="auto" w:sz="2" w:space="0"/>
              <w:left w:val="nil"/>
              <w:bottom w:val="single" w:color="auto" w:sz="1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19</w:t>
            </w:r>
          </w:p>
        </w:tc>
        <w:tc>
          <w:tcPr>
            <w:tcW w:w="1125" w:type="dxa"/>
            <w:tcBorders>
              <w:top w:val="single" w:color="auto" w:sz="2" w:space="0"/>
              <w:left w:val="single" w:color="auto" w:sz="2" w:space="0"/>
              <w:bottom w:val="single" w:color="auto" w:sz="12" w:space="0"/>
              <w:right w:val="single" w:color="auto" w:sz="2" w:space="0"/>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2-氯酚</w:t>
            </w:r>
          </w:p>
        </w:tc>
        <w:tc>
          <w:tcPr>
            <w:tcW w:w="4965" w:type="dxa"/>
            <w:tcBorders>
              <w:top w:val="single" w:color="auto" w:sz="2" w:space="0"/>
              <w:left w:val="single" w:color="auto" w:sz="2" w:space="0"/>
              <w:bottom w:val="single" w:color="auto" w:sz="12" w:space="0"/>
              <w:right w:val="single" w:color="auto" w:sz="2" w:space="0"/>
            </w:tcBorders>
            <w:vAlign w:val="center"/>
          </w:tcPr>
          <w:p>
            <w:pPr>
              <w:widowControl/>
              <w:shd w:val="clear" w:color="auto" w:fill="FFFFFF"/>
              <w:spacing w:line="240" w:lineRule="auto"/>
              <w:jc w:val="center"/>
              <w:outlineLvl w:val="0"/>
              <w:rPr>
                <w:rFonts w:hint="default" w:ascii="Times New Roman" w:hAnsi="Times New Roman" w:cs="Times New Roman" w:eastAsiaTheme="minorEastAsia"/>
                <w:b w:val="0"/>
                <w:bCs w:val="0"/>
                <w:kern w:val="2"/>
                <w:sz w:val="21"/>
                <w:szCs w:val="21"/>
                <w:vertAlign w:val="baseline"/>
                <w:lang w:val="en-US" w:eastAsia="zh-CN" w:bidi="ar-SA"/>
              </w:rPr>
            </w:pPr>
            <w:bookmarkStart w:id="26" w:name="_Toc8480"/>
            <w:bookmarkStart w:id="27" w:name="_Toc3322"/>
            <w:bookmarkStart w:id="28" w:name="_Toc1121"/>
            <w:r>
              <w:rPr>
                <w:rFonts w:hint="default" w:ascii="Times New Roman" w:hAnsi="Times New Roman" w:cs="Times New Roman" w:eastAsiaTheme="minorEastAsia"/>
                <w:kern w:val="0"/>
                <w:sz w:val="21"/>
                <w:szCs w:val="21"/>
              </w:rPr>
              <w:t>土壤和沉积物 半挥发性有机物的测定 气相色谱-质谱法HJ 834-2017</w:t>
            </w:r>
            <w:bookmarkEnd w:id="26"/>
            <w:bookmarkEnd w:id="27"/>
            <w:bookmarkEnd w:id="28"/>
          </w:p>
        </w:tc>
        <w:tc>
          <w:tcPr>
            <w:tcW w:w="1624" w:type="dxa"/>
            <w:tcBorders>
              <w:top w:val="single" w:color="auto" w:sz="2" w:space="0"/>
              <w:left w:val="single" w:color="auto" w:sz="2" w:space="0"/>
              <w:bottom w:val="single" w:color="auto" w:sz="12" w:space="0"/>
              <w:right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rPr>
              <w:t>0.063mg/kg</w:t>
            </w:r>
          </w:p>
        </w:tc>
      </w:tr>
    </w:tbl>
    <w:p>
      <w:pPr>
        <w:numPr>
          <w:ilvl w:val="0"/>
          <w:numId w:val="0"/>
        </w:numPr>
        <w:spacing w:line="360" w:lineRule="auto"/>
        <w:ind w:leftChars="0"/>
        <w:jc w:val="both"/>
        <w:rPr>
          <w:rFonts w:hint="eastAsia"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（3）采样设备：土壤采样器</w:t>
      </w:r>
    </w:p>
    <w:p>
      <w:pPr>
        <w:numPr>
          <w:ilvl w:val="0"/>
          <w:numId w:val="0"/>
        </w:numPr>
        <w:spacing w:line="360" w:lineRule="auto"/>
        <w:ind w:leftChars="0"/>
        <w:jc w:val="both"/>
        <w:rPr>
          <w:rFonts w:hint="default"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（4）实验设备：原子荧光光谱仪、原子吸收分光光度计、紫外可见分光光度计、冷原子吸收测汞仪。</w:t>
      </w:r>
    </w:p>
    <w:p>
      <w:pPr>
        <w:numPr>
          <w:ilvl w:val="0"/>
          <w:numId w:val="0"/>
        </w:numPr>
        <w:spacing w:line="360" w:lineRule="auto"/>
        <w:ind w:leftChars="0"/>
        <w:jc w:val="both"/>
        <w:rPr>
          <w:rFonts w:hint="default"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（5）监测频次：监测1次，每个采样点分2个土壤深度采样。</w:t>
      </w:r>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29" w:name="_Toc31546"/>
      <w:bookmarkStart w:id="30" w:name="_Toc14627"/>
      <w:r>
        <w:rPr>
          <w:rFonts w:hint="eastAsia" w:ascii="Times New Roman" w:hAnsi="Times New Roman" w:cs="Times New Roman"/>
          <w:b/>
          <w:bCs/>
          <w:sz w:val="24"/>
          <w:szCs w:val="24"/>
          <w:lang w:val="en-US" w:eastAsia="zh-CN"/>
        </w:rPr>
        <w:t>2、地下水</w:t>
      </w:r>
      <w:bookmarkEnd w:id="29"/>
      <w:bookmarkEnd w:id="30"/>
    </w:p>
    <w:p>
      <w:pPr>
        <w:numPr>
          <w:ilvl w:val="0"/>
          <w:numId w:val="3"/>
        </w:numPr>
        <w:spacing w:line="360" w:lineRule="auto"/>
        <w:ind w:leftChars="200"/>
        <w:jc w:val="both"/>
        <w:rPr>
          <w:rFonts w:hint="eastAsia"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监测点位</w:t>
      </w:r>
    </w:p>
    <w:p>
      <w:pPr>
        <w:numPr>
          <w:ilvl w:val="0"/>
          <w:numId w:val="0"/>
        </w:numPr>
        <w:spacing w:line="360" w:lineRule="auto"/>
        <w:ind w:firstLine="480" w:firstLineChars="200"/>
        <w:jc w:val="both"/>
        <w:rPr>
          <w:rFonts w:hint="default"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因项目周边企业、居民居多，无地下水井，用水引用市政管网用水。故无背景监测井。本项目在危废车间周围设置一个污染物监测井，采样深度为地下水位0.5米以下。</w:t>
      </w:r>
    </w:p>
    <w:p>
      <w:pPr>
        <w:numPr>
          <w:ilvl w:val="0"/>
          <w:numId w:val="0"/>
        </w:numPr>
        <w:spacing w:line="360" w:lineRule="auto"/>
        <w:jc w:val="center"/>
        <w:rPr>
          <w:rFonts w:hint="default" w:ascii="Times New Roman" w:hAnsi="Times New Roman" w:cs="Times New Roman"/>
          <w:b w:val="0"/>
          <w:bCs w:val="0"/>
          <w:sz w:val="24"/>
          <w:szCs w:val="32"/>
          <w:lang w:val="en-US" w:eastAsia="zh-CN"/>
        </w:rPr>
      </w:pPr>
      <w:r>
        <w:rPr>
          <w:rFonts w:hint="eastAsia" w:ascii="Times New Roman" w:hAnsi="Times New Roman" w:cs="Times New Roman"/>
          <w:b/>
          <w:bCs/>
          <w:sz w:val="24"/>
          <w:szCs w:val="32"/>
          <w:lang w:val="en-US" w:eastAsia="zh-CN"/>
        </w:rPr>
        <w:t>表3地下水环境质量现状监测点布设情况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965"/>
        <w:gridCol w:w="1770"/>
        <w:gridCol w:w="3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tcBorders>
              <w:top w:val="single" w:color="auto" w:sz="12" w:space="0"/>
              <w:left w:val="nil"/>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序号</w:t>
            </w:r>
          </w:p>
        </w:tc>
        <w:tc>
          <w:tcPr>
            <w:tcW w:w="1965" w:type="dxa"/>
            <w:tcBorders>
              <w:top w:val="single" w:color="auto" w:sz="1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位置名称</w:t>
            </w:r>
          </w:p>
        </w:tc>
        <w:tc>
          <w:tcPr>
            <w:tcW w:w="1770" w:type="dxa"/>
            <w:tcBorders>
              <w:top w:val="single" w:color="auto" w:sz="12" w:space="0"/>
              <w:left w:val="single" w:color="auto" w:sz="2" w:space="0"/>
              <w:bottom w:val="single" w:color="auto" w:sz="2" w:space="0"/>
              <w:right w:val="single" w:color="auto" w:sz="2" w:space="0"/>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井深</w:t>
            </w:r>
          </w:p>
        </w:tc>
        <w:tc>
          <w:tcPr>
            <w:tcW w:w="3927" w:type="dxa"/>
            <w:tcBorders>
              <w:top w:val="single" w:color="auto" w:sz="12" w:space="0"/>
              <w:left w:val="single" w:color="auto" w:sz="2" w:space="0"/>
              <w:bottom w:val="single" w:color="auto" w:sz="2" w:space="0"/>
              <w:right w:val="nil"/>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布设目的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tcBorders>
              <w:top w:val="single" w:color="auto" w:sz="2" w:space="0"/>
              <w:left w:val="nil"/>
              <w:bottom w:val="single" w:color="auto" w:sz="12" w:space="0"/>
              <w:right w:val="single" w:color="auto" w:sz="2" w:space="0"/>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965" w:type="dxa"/>
            <w:tcBorders>
              <w:top w:val="single" w:color="auto" w:sz="2" w:space="0"/>
              <w:left w:val="single" w:color="auto" w:sz="2" w:space="0"/>
              <w:bottom w:val="single" w:color="auto" w:sz="12" w:space="0"/>
              <w:right w:val="single" w:color="auto" w:sz="2" w:space="0"/>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厂区内水井</w:t>
            </w:r>
          </w:p>
        </w:tc>
        <w:tc>
          <w:tcPr>
            <w:tcW w:w="1770" w:type="dxa"/>
            <w:tcBorders>
              <w:top w:val="single" w:color="auto" w:sz="2" w:space="0"/>
              <w:left w:val="single" w:color="auto" w:sz="2" w:space="0"/>
              <w:bottom w:val="single" w:color="auto" w:sz="12" w:space="0"/>
              <w:right w:val="single" w:color="auto" w:sz="2" w:space="0"/>
            </w:tcBorders>
          </w:tcPr>
          <w:p>
            <w:pPr>
              <w:numPr>
                <w:ilvl w:val="0"/>
                <w:numId w:val="0"/>
              </w:num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80m</w:t>
            </w:r>
          </w:p>
        </w:tc>
        <w:tc>
          <w:tcPr>
            <w:tcW w:w="3927" w:type="dxa"/>
            <w:tcBorders>
              <w:top w:val="single" w:color="auto" w:sz="2" w:space="0"/>
              <w:left w:val="single" w:color="auto" w:sz="2" w:space="0"/>
              <w:bottom w:val="single" w:color="auto" w:sz="12" w:space="0"/>
              <w:right w:val="nil"/>
            </w:tcBorders>
          </w:tcPr>
          <w:p>
            <w:pPr>
              <w:numPr>
                <w:ilvl w:val="0"/>
                <w:numId w:val="0"/>
              </w:numPr>
              <w:spacing w:line="360" w:lineRule="auto"/>
              <w:jc w:val="center"/>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了解项目地下水环境质量现状</w:t>
            </w:r>
          </w:p>
        </w:tc>
      </w:tr>
    </w:tbl>
    <w:p>
      <w:pPr>
        <w:numPr>
          <w:ilvl w:val="0"/>
          <w:numId w:val="3"/>
        </w:numPr>
        <w:spacing w:line="360" w:lineRule="auto"/>
        <w:ind w:left="420" w:leftChars="20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监测项目</w:t>
      </w:r>
    </w:p>
    <w:p>
      <w:pPr>
        <w:numPr>
          <w:ilvl w:val="0"/>
          <w:numId w:val="0"/>
        </w:numPr>
        <w:spacing w:line="360" w:lineRule="auto"/>
        <w:ind w:firstLine="480"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监测因子由常规因子和特征因子组成。常规因子参考《地下水质量标注》（GB/T14848）限定的常规指标，重点企业依据所在地域水文地质特征筛选。特征因子选择由省级地方人民政府环境保护部门依据所属行业和生产工艺认定。</w:t>
      </w:r>
    </w:p>
    <w:p>
      <w:pPr>
        <w:numPr>
          <w:ilvl w:val="0"/>
          <w:numId w:val="0"/>
        </w:numPr>
        <w:spacing w:line="360" w:lineRule="auto"/>
        <w:ind w:firstLine="480" w:firstLineChars="200"/>
        <w:jc w:val="both"/>
        <w:rPr>
          <w:rFonts w:hint="eastAsia"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故本项目监测因子为PH、氨氮、硝酸盐、亚硝酸盐、耗氧量、氯化物、挥发酚、镉、铁、锰、铬（六价）、锌、镍、砷、汞共计15 项。具体见下表4。</w:t>
      </w:r>
    </w:p>
    <w:p>
      <w:pPr>
        <w:numPr>
          <w:ilvl w:val="0"/>
          <w:numId w:val="0"/>
        </w:numPr>
        <w:spacing w:line="360" w:lineRule="auto"/>
        <w:jc w:val="center"/>
        <w:rPr>
          <w:rFonts w:hint="eastAsia" w:ascii="Times New Roman" w:hAnsi="Times New Roman" w:cs="Times New Roman"/>
          <w:b w:val="0"/>
          <w:bCs w:val="0"/>
          <w:sz w:val="24"/>
          <w:szCs w:val="32"/>
          <w:lang w:val="en-US" w:eastAsia="zh-CN"/>
        </w:rPr>
      </w:pPr>
      <w:r>
        <w:rPr>
          <w:rFonts w:hint="eastAsia" w:ascii="Times New Roman" w:hAnsi="Times New Roman" w:cs="Times New Roman"/>
          <w:b/>
          <w:bCs/>
          <w:sz w:val="24"/>
          <w:szCs w:val="24"/>
          <w:lang w:val="en-US" w:eastAsia="zh-CN"/>
        </w:rPr>
        <w:t>表4 地下水分析方法汇总表</w:t>
      </w:r>
    </w:p>
    <w:tbl>
      <w:tblPr>
        <w:tblStyle w:val="10"/>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740"/>
        <w:gridCol w:w="439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1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序号</w:t>
            </w:r>
          </w:p>
        </w:tc>
        <w:tc>
          <w:tcPr>
            <w:tcW w:w="1740" w:type="dxa"/>
            <w:tcBorders>
              <w:top w:val="single" w:color="auto" w:sz="12" w:space="0"/>
              <w:left w:val="single" w:color="auto" w:sz="2" w:space="0"/>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检测项目</w:t>
            </w:r>
          </w:p>
        </w:tc>
        <w:tc>
          <w:tcPr>
            <w:tcW w:w="4395" w:type="dxa"/>
            <w:tcBorders>
              <w:top w:val="single" w:color="auto" w:sz="12" w:space="0"/>
              <w:left w:val="single" w:color="auto" w:sz="2" w:space="0"/>
              <w:bottom w:val="single" w:color="auto" w:sz="2" w:space="0"/>
              <w:right w:val="single" w:color="auto" w:sz="2" w:space="0"/>
            </w:tcBorders>
            <w:vAlign w:val="top"/>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检测方法</w:t>
            </w:r>
          </w:p>
        </w:tc>
        <w:tc>
          <w:tcPr>
            <w:tcW w:w="1785" w:type="dxa"/>
            <w:tcBorders>
              <w:top w:val="single" w:color="auto" w:sz="12" w:space="0"/>
              <w:left w:val="single" w:color="auto" w:sz="2" w:space="0"/>
              <w:bottom w:val="single" w:color="auto" w:sz="2" w:space="0"/>
              <w:right w:val="nil"/>
            </w:tcBorders>
            <w:vAlign w:val="center"/>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val="en-US" w:eastAsia="zh-CN" w:bidi="ar"/>
              </w:rPr>
              <w:t>p</w:t>
            </w:r>
            <w:r>
              <w:rPr>
                <w:rFonts w:hint="default" w:ascii="Times New Roman" w:hAnsi="Times New Roman" w:cs="Times New Roman"/>
                <w:color w:val="auto"/>
                <w:kern w:val="0"/>
                <w:szCs w:val="21"/>
                <w:lang w:bidi="ar"/>
              </w:rPr>
              <w:t>H</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kern w:val="0"/>
                <w:szCs w:val="21"/>
                <w:lang w:bidi="ar"/>
              </w:rPr>
              <w:t>水质 pH值的测定 玻璃电极法GB/T 6920-1986</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2</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bidi="ar"/>
              </w:rPr>
              <w:t>氨氮</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auto"/>
                <w:kern w:val="0"/>
                <w:szCs w:val="21"/>
                <w:lang w:bidi="ar"/>
              </w:rPr>
            </w:pPr>
            <w:r>
              <w:rPr>
                <w:rFonts w:hint="default" w:ascii="Times New Roman" w:hAnsi="Times New Roman" w:cs="Times New Roman" w:eastAsiaTheme="minorEastAsia"/>
                <w:color w:val="auto"/>
                <w:kern w:val="0"/>
                <w:szCs w:val="21"/>
                <w:lang w:bidi="ar"/>
              </w:rPr>
              <w:t>水质 氨氮的测定 纳氏试剂分光光光度法</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kern w:val="0"/>
                <w:szCs w:val="21"/>
                <w:lang w:bidi="ar"/>
              </w:rPr>
              <w:t>HJ 535-2009</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3</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bidi="ar"/>
              </w:rPr>
              <w:t>硝酸盐</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kern w:val="0"/>
                <w:szCs w:val="21"/>
                <w:lang w:bidi="ar"/>
              </w:rPr>
              <w:t>水质 无机阴离子（F</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、Cl</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、NO</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、Br</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、NO</w:t>
            </w:r>
            <w:r>
              <w:rPr>
                <w:rFonts w:hint="default" w:ascii="Times New Roman" w:hAnsi="Times New Roman" w:cs="Times New Roman" w:eastAsiaTheme="minorEastAsia"/>
                <w:color w:val="auto"/>
                <w:kern w:val="0"/>
                <w:szCs w:val="21"/>
                <w:vertAlign w:val="superscript"/>
                <w:lang w:bidi="ar"/>
              </w:rPr>
              <w:t>3</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、PO</w:t>
            </w:r>
            <w:r>
              <w:rPr>
                <w:rFonts w:hint="default" w:ascii="Times New Roman" w:hAnsi="Times New Roman" w:cs="Times New Roman" w:eastAsiaTheme="minorEastAsia"/>
                <w:color w:val="auto"/>
                <w:kern w:val="0"/>
                <w:szCs w:val="21"/>
                <w:vertAlign w:val="subscript"/>
                <w:lang w:bidi="ar"/>
              </w:rPr>
              <w:t>4</w:t>
            </w:r>
            <w:r>
              <w:rPr>
                <w:rFonts w:hint="default" w:ascii="Times New Roman" w:hAnsi="Times New Roman" w:cs="Times New Roman" w:eastAsiaTheme="minorEastAsia"/>
                <w:color w:val="auto"/>
                <w:kern w:val="0"/>
                <w:szCs w:val="21"/>
                <w:vertAlign w:val="superscript"/>
                <w:lang w:bidi="ar"/>
              </w:rPr>
              <w:t>3</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、SO</w:t>
            </w:r>
            <w:r>
              <w:rPr>
                <w:rFonts w:hint="default" w:ascii="Times New Roman" w:hAnsi="Times New Roman" w:cs="Times New Roman" w:eastAsiaTheme="minorEastAsia"/>
                <w:color w:val="auto"/>
                <w:kern w:val="0"/>
                <w:szCs w:val="21"/>
                <w:vertAlign w:val="subscript"/>
                <w:lang w:bidi="ar"/>
              </w:rPr>
              <w:t>3</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、SO</w:t>
            </w:r>
            <w:r>
              <w:rPr>
                <w:rFonts w:hint="default" w:ascii="Times New Roman" w:hAnsi="Times New Roman" w:cs="Times New Roman" w:eastAsiaTheme="minorEastAsia"/>
                <w:color w:val="auto"/>
                <w:kern w:val="0"/>
                <w:szCs w:val="21"/>
                <w:vertAlign w:val="subscript"/>
                <w:lang w:bidi="ar"/>
              </w:rPr>
              <w:t>4</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）的测定 离子色谱法HJ 84-2016</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0.016mg/L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4</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eastAsia="zh-CN" w:bidi="ar"/>
              </w:rPr>
              <w:t>亚硝酸盐</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kern w:val="0"/>
                <w:szCs w:val="21"/>
                <w:lang w:bidi="ar"/>
              </w:rPr>
              <w:t>水质 无机阴离子（F</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、Cl</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、NO</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、Br</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、NO</w:t>
            </w:r>
            <w:r>
              <w:rPr>
                <w:rFonts w:hint="default" w:ascii="Times New Roman" w:hAnsi="Times New Roman" w:cs="Times New Roman" w:eastAsiaTheme="minorEastAsia"/>
                <w:color w:val="auto"/>
                <w:kern w:val="0"/>
                <w:szCs w:val="21"/>
                <w:vertAlign w:val="superscript"/>
                <w:lang w:bidi="ar"/>
              </w:rPr>
              <w:t>3</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、PO</w:t>
            </w:r>
            <w:r>
              <w:rPr>
                <w:rFonts w:hint="default" w:ascii="Times New Roman" w:hAnsi="Times New Roman" w:cs="Times New Roman" w:eastAsiaTheme="minorEastAsia"/>
                <w:color w:val="auto"/>
                <w:kern w:val="0"/>
                <w:szCs w:val="21"/>
                <w:vertAlign w:val="subscript"/>
                <w:lang w:bidi="ar"/>
              </w:rPr>
              <w:t>4</w:t>
            </w:r>
            <w:r>
              <w:rPr>
                <w:rFonts w:hint="default" w:ascii="Times New Roman" w:hAnsi="Times New Roman" w:cs="Times New Roman" w:eastAsiaTheme="minorEastAsia"/>
                <w:color w:val="auto"/>
                <w:kern w:val="0"/>
                <w:szCs w:val="21"/>
                <w:vertAlign w:val="superscript"/>
                <w:lang w:bidi="ar"/>
              </w:rPr>
              <w:t>3</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、SO</w:t>
            </w:r>
            <w:r>
              <w:rPr>
                <w:rFonts w:hint="default" w:ascii="Times New Roman" w:hAnsi="Times New Roman" w:cs="Times New Roman" w:eastAsiaTheme="minorEastAsia"/>
                <w:color w:val="auto"/>
                <w:kern w:val="0"/>
                <w:szCs w:val="21"/>
                <w:vertAlign w:val="subscript"/>
                <w:lang w:bidi="ar"/>
              </w:rPr>
              <w:t>3</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、SO</w:t>
            </w:r>
            <w:r>
              <w:rPr>
                <w:rFonts w:hint="default" w:ascii="Times New Roman" w:hAnsi="Times New Roman" w:cs="Times New Roman" w:eastAsiaTheme="minorEastAsia"/>
                <w:color w:val="auto"/>
                <w:kern w:val="0"/>
                <w:szCs w:val="21"/>
                <w:vertAlign w:val="subscript"/>
                <w:lang w:bidi="ar"/>
              </w:rPr>
              <w:t>4</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）的测定 离子色谱法HJ 84-2016</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0.016mg/L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5</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color w:val="auto"/>
                <w:kern w:val="0"/>
                <w:szCs w:val="21"/>
                <w:lang w:eastAsia="zh-CN" w:bidi="ar"/>
              </w:rPr>
              <w:t>悬浮物</w:t>
            </w:r>
          </w:p>
        </w:tc>
        <w:tc>
          <w:tcPr>
            <w:tcW w:w="4395"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left"/>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水质 悬浮物的测定 重量法 GB/T 11901-1989</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6</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eastAsia="zh-CN" w:bidi="ar"/>
              </w:rPr>
              <w:t>耗氧量</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生活饮用水标准检验方法有机物综合指标GB/T5750.7-2006仅限1.1法</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7</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eastAsia="zh-CN" w:bidi="ar"/>
              </w:rPr>
              <w:t>氯化物</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kern w:val="0"/>
                <w:szCs w:val="21"/>
                <w:lang w:bidi="ar"/>
              </w:rPr>
              <w:t>水质 无机阴离子（F</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、Cl</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、NO</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、Br</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、NO</w:t>
            </w:r>
            <w:r>
              <w:rPr>
                <w:rFonts w:hint="default" w:ascii="Times New Roman" w:hAnsi="Times New Roman" w:cs="Times New Roman" w:eastAsiaTheme="minorEastAsia"/>
                <w:color w:val="auto"/>
                <w:kern w:val="0"/>
                <w:szCs w:val="21"/>
                <w:vertAlign w:val="superscript"/>
                <w:lang w:bidi="ar"/>
              </w:rPr>
              <w:t>3</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、PO</w:t>
            </w:r>
            <w:r>
              <w:rPr>
                <w:rFonts w:hint="default" w:ascii="Times New Roman" w:hAnsi="Times New Roman" w:cs="Times New Roman" w:eastAsiaTheme="minorEastAsia"/>
                <w:color w:val="auto"/>
                <w:kern w:val="0"/>
                <w:szCs w:val="21"/>
                <w:vertAlign w:val="subscript"/>
                <w:lang w:bidi="ar"/>
              </w:rPr>
              <w:t>4</w:t>
            </w:r>
            <w:r>
              <w:rPr>
                <w:rFonts w:hint="default" w:ascii="Times New Roman" w:hAnsi="Times New Roman" w:cs="Times New Roman" w:eastAsiaTheme="minorEastAsia"/>
                <w:color w:val="auto"/>
                <w:kern w:val="0"/>
                <w:szCs w:val="21"/>
                <w:vertAlign w:val="superscript"/>
                <w:lang w:bidi="ar"/>
              </w:rPr>
              <w:t>3</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、SO</w:t>
            </w:r>
            <w:r>
              <w:rPr>
                <w:rFonts w:hint="default" w:ascii="Times New Roman" w:hAnsi="Times New Roman" w:cs="Times New Roman" w:eastAsiaTheme="minorEastAsia"/>
                <w:color w:val="auto"/>
                <w:kern w:val="0"/>
                <w:szCs w:val="21"/>
                <w:vertAlign w:val="subscript"/>
                <w:lang w:bidi="ar"/>
              </w:rPr>
              <w:t>3</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、SO</w:t>
            </w:r>
            <w:r>
              <w:rPr>
                <w:rFonts w:hint="default" w:ascii="Times New Roman" w:hAnsi="Times New Roman" w:cs="Times New Roman" w:eastAsiaTheme="minorEastAsia"/>
                <w:color w:val="auto"/>
                <w:kern w:val="0"/>
                <w:szCs w:val="21"/>
                <w:vertAlign w:val="subscript"/>
                <w:lang w:bidi="ar"/>
              </w:rPr>
              <w:t>4</w:t>
            </w:r>
            <w:r>
              <w:rPr>
                <w:rFonts w:hint="default" w:ascii="Times New Roman" w:hAnsi="Times New Roman" w:cs="Times New Roman" w:eastAsiaTheme="minorEastAsia"/>
                <w:color w:val="auto"/>
                <w:kern w:val="0"/>
                <w:szCs w:val="21"/>
                <w:vertAlign w:val="superscript"/>
                <w:lang w:bidi="ar"/>
              </w:rPr>
              <w:t>2</w:t>
            </w:r>
            <w:r>
              <w:rPr>
                <w:rFonts w:hint="default" w:ascii="Times New Roman" w:hAnsi="Times New Roman" w:cs="Times New Roman" w:eastAsiaTheme="minorEastAsia"/>
                <w:color w:val="auto"/>
                <w:kern w:val="0"/>
                <w:szCs w:val="21"/>
                <w:vertAlign w:val="superscript"/>
                <w:lang w:val="en-US" w:eastAsia="zh-CN" w:bidi="ar"/>
              </w:rPr>
              <w:t>-</w:t>
            </w:r>
            <w:r>
              <w:rPr>
                <w:rFonts w:hint="default" w:ascii="Times New Roman" w:hAnsi="Times New Roman" w:cs="Times New Roman" w:eastAsiaTheme="minorEastAsia"/>
                <w:color w:val="auto"/>
                <w:kern w:val="0"/>
                <w:szCs w:val="21"/>
                <w:lang w:bidi="ar"/>
              </w:rPr>
              <w:t>）的测定 离子色谱法HJ 84-2016</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0.007mg/L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8</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Cs w:val="21"/>
                <w:lang w:eastAsia="zh-CN" w:bidi="ar"/>
              </w:rPr>
              <w:t>挥发酚</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color w:val="000000"/>
                <w:kern w:val="0"/>
                <w:szCs w:val="21"/>
                <w:lang w:bidi="ar"/>
              </w:rPr>
              <w:t>水质 挥发酚的测定 4-氨基安替比林分光光度法 HJ 503-2009</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9</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color w:val="auto"/>
                <w:kern w:val="0"/>
                <w:sz w:val="21"/>
                <w:szCs w:val="21"/>
                <w:lang w:val="en-US" w:eastAsia="zh-CN" w:bidi="ar"/>
              </w:rPr>
              <w:t>石油类</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Cs w:val="21"/>
                <w:lang w:bidi="ar"/>
              </w:rPr>
            </w:pPr>
            <w:r>
              <w:rPr>
                <w:rFonts w:hint="default" w:ascii="Times New Roman" w:hAnsi="Times New Roman" w:cs="Times New Roman" w:eastAsiaTheme="minorEastAsia"/>
                <w:color w:val="000000"/>
                <w:kern w:val="0"/>
                <w:szCs w:val="21"/>
                <w:lang w:bidi="ar"/>
              </w:rPr>
              <w:t xml:space="preserve">水质 </w:t>
            </w:r>
            <w:r>
              <w:rPr>
                <w:rFonts w:hint="default" w:ascii="Times New Roman" w:hAnsi="Times New Roman" w:cs="Times New Roman" w:eastAsiaTheme="minorEastAsia"/>
                <w:color w:val="000000"/>
                <w:kern w:val="0"/>
                <w:szCs w:val="21"/>
                <w:lang w:eastAsia="zh-CN" w:bidi="ar"/>
              </w:rPr>
              <w:t>石油类的测定</w:t>
            </w:r>
            <w:r>
              <w:rPr>
                <w:rFonts w:hint="default" w:ascii="Times New Roman" w:hAnsi="Times New Roman" w:cs="Times New Roman" w:eastAsiaTheme="minorEastAsia"/>
                <w:color w:val="000000"/>
                <w:kern w:val="0"/>
                <w:szCs w:val="21"/>
                <w:lang w:val="en-US" w:eastAsia="zh-CN" w:bidi="ar"/>
              </w:rPr>
              <w:t xml:space="preserve"> 紫外</w:t>
            </w:r>
            <w:r>
              <w:rPr>
                <w:rFonts w:hint="default" w:ascii="Times New Roman" w:hAnsi="Times New Roman" w:cs="Times New Roman" w:eastAsiaTheme="minorEastAsia"/>
                <w:color w:val="000000"/>
                <w:kern w:val="0"/>
                <w:szCs w:val="21"/>
                <w:lang w:bidi="ar"/>
              </w:rPr>
              <w:t>分光光度法</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 xml:space="preserve">HJ </w:t>
            </w:r>
            <w:r>
              <w:rPr>
                <w:rFonts w:hint="default" w:ascii="Times New Roman" w:hAnsi="Times New Roman" w:cs="Times New Roman" w:eastAsiaTheme="minorEastAsia"/>
                <w:color w:val="000000"/>
                <w:kern w:val="0"/>
                <w:szCs w:val="21"/>
                <w:lang w:val="en-US" w:eastAsia="zh-CN" w:bidi="ar"/>
              </w:rPr>
              <w:t>970</w:t>
            </w:r>
            <w:r>
              <w:rPr>
                <w:rFonts w:hint="default" w:ascii="Times New Roman" w:hAnsi="Times New Roman" w:cs="Times New Roman" w:eastAsiaTheme="minorEastAsia"/>
                <w:color w:val="000000"/>
                <w:kern w:val="0"/>
                <w:szCs w:val="21"/>
                <w:lang w:bidi="ar"/>
              </w:rPr>
              <w:t>-2018</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kern w:val="2"/>
                <w:sz w:val="21"/>
                <w:szCs w:val="21"/>
                <w:vertAlign w:val="baseline"/>
                <w:lang w:val="en-US" w:eastAsia="zh-CN" w:bidi="ar-SA"/>
              </w:rPr>
            </w:pPr>
            <w:r>
              <w:rPr>
                <w:rFonts w:hint="eastAsia" w:cs="Times New Roman"/>
                <w:sz w:val="21"/>
                <w:szCs w:val="21"/>
                <w:lang w:val="en-US" w:eastAsia="zh-CN"/>
              </w:rPr>
              <w:t>0.01</w:t>
            </w:r>
            <w:r>
              <w:rPr>
                <w:rFonts w:hint="default" w:ascii="Times New Roman" w:hAnsi="Times New Roman"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0</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color w:val="auto"/>
                <w:kern w:val="0"/>
                <w:sz w:val="21"/>
                <w:szCs w:val="21"/>
                <w:lang w:val="en-US" w:eastAsia="zh-CN" w:bidi="ar"/>
              </w:rPr>
              <w:t>镉</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水质 铜、锌、铅、镉的测定 原子吸收分光光度法 GB/T 7475-1987</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1</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color w:val="auto"/>
                <w:kern w:val="0"/>
                <w:sz w:val="21"/>
                <w:szCs w:val="21"/>
                <w:lang w:val="en-US" w:eastAsia="zh-CN" w:bidi="ar"/>
              </w:rPr>
              <w:t>铁</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水质 铁、锰的测定 火焰原子吸收分光光度法 GB/T 11911-1989</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2</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color w:val="auto"/>
                <w:kern w:val="0"/>
                <w:sz w:val="21"/>
                <w:szCs w:val="21"/>
                <w:lang w:val="en-US" w:eastAsia="zh-CN" w:bidi="ar"/>
              </w:rPr>
              <w:t>锰</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水质 铁、锰的测定 火焰原子吸收分光光度法 GB/T 11911-1989</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3</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color w:val="auto"/>
                <w:kern w:val="0"/>
                <w:sz w:val="21"/>
                <w:szCs w:val="21"/>
                <w:lang w:val="en-US" w:eastAsia="zh-CN" w:bidi="ar"/>
              </w:rPr>
              <w:t>铬</w:t>
            </w:r>
            <w:r>
              <w:rPr>
                <w:rFonts w:hint="eastAsia" w:ascii="Times New Roman" w:hAnsi="Times New Roman" w:cs="Times New Roman"/>
                <w:color w:val="auto"/>
                <w:kern w:val="0"/>
                <w:sz w:val="21"/>
                <w:szCs w:val="21"/>
                <w:lang w:val="en-US" w:eastAsia="zh-CN" w:bidi="ar"/>
              </w:rPr>
              <w:t>（六价）</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Cs w:val="21"/>
                <w:lang w:bidi="ar"/>
              </w:rPr>
            </w:pPr>
            <w:r>
              <w:rPr>
                <w:rFonts w:hint="default" w:ascii="Times New Roman" w:hAnsi="Times New Roman" w:cs="Times New Roman" w:eastAsiaTheme="minorEastAsia"/>
                <w:color w:val="000000"/>
                <w:kern w:val="0"/>
                <w:szCs w:val="21"/>
                <w:lang w:bidi="ar"/>
              </w:rPr>
              <w:t>水质 铬的测定 火焰原子吸收分光光度法</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HJ 757-2015</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4</w:t>
            </w:r>
          </w:p>
        </w:tc>
        <w:tc>
          <w:tcPr>
            <w:tcW w:w="174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color w:val="auto"/>
                <w:kern w:val="0"/>
                <w:sz w:val="21"/>
                <w:szCs w:val="21"/>
                <w:lang w:val="en-US" w:eastAsia="zh-CN" w:bidi="ar"/>
              </w:rPr>
              <w:t>锌</w:t>
            </w:r>
          </w:p>
        </w:tc>
        <w:tc>
          <w:tcPr>
            <w:tcW w:w="439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水质 铜、锌、铅、镉的测定 原子吸收分光光度法 GB/T 7475-1987</w:t>
            </w:r>
          </w:p>
        </w:tc>
        <w:tc>
          <w:tcPr>
            <w:tcW w:w="1785"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single" w:color="auto" w:sz="2" w:space="0"/>
              <w:left w:val="nil"/>
              <w:bottom w:val="single" w:color="auto" w:sz="12" w:space="0"/>
              <w:right w:val="single" w:color="auto" w:sz="2" w:space="0"/>
            </w:tcBorders>
          </w:tcPr>
          <w:p>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5</w:t>
            </w:r>
          </w:p>
        </w:tc>
        <w:tc>
          <w:tcPr>
            <w:tcW w:w="1740"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color w:val="auto"/>
                <w:kern w:val="0"/>
                <w:sz w:val="21"/>
                <w:szCs w:val="21"/>
                <w:lang w:val="en-US" w:eastAsia="zh-CN" w:bidi="ar"/>
              </w:rPr>
              <w:t>砷</w:t>
            </w:r>
          </w:p>
        </w:tc>
        <w:tc>
          <w:tcPr>
            <w:tcW w:w="4395"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Cs w:val="21"/>
                <w:lang w:bidi="ar"/>
              </w:rPr>
            </w:pPr>
            <w:r>
              <w:rPr>
                <w:rFonts w:hint="default" w:ascii="Times New Roman" w:hAnsi="Times New Roman" w:cs="Times New Roman" w:eastAsiaTheme="minorEastAsia"/>
                <w:color w:val="000000"/>
                <w:kern w:val="0"/>
                <w:szCs w:val="21"/>
                <w:lang w:bidi="ar"/>
              </w:rPr>
              <w:t>水质 汞、砷、硒、铋和锑的测定 原子荧光法</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kern w:val="0"/>
                <w:szCs w:val="21"/>
                <w:lang w:bidi="ar"/>
              </w:rPr>
              <w:t>HJ 694-2014</w:t>
            </w:r>
          </w:p>
        </w:tc>
        <w:tc>
          <w:tcPr>
            <w:tcW w:w="1785" w:type="dxa"/>
            <w:tcBorders>
              <w:top w:val="single" w:color="auto" w:sz="2" w:space="0"/>
              <w:left w:val="single" w:color="auto" w:sz="2" w:space="0"/>
              <w:bottom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sz w:val="21"/>
                <w:szCs w:val="21"/>
              </w:rPr>
              <w:t>0.3μg/L</w:t>
            </w:r>
          </w:p>
        </w:tc>
      </w:tr>
    </w:tbl>
    <w:p>
      <w:pPr>
        <w:numPr>
          <w:ilvl w:val="0"/>
          <w:numId w:val="0"/>
        </w:numPr>
        <w:spacing w:line="360" w:lineRule="auto"/>
        <w:ind w:left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（3）采样设备：深水采样器</w:t>
      </w:r>
    </w:p>
    <w:p>
      <w:pPr>
        <w:numPr>
          <w:ilvl w:val="0"/>
          <w:numId w:val="0"/>
        </w:numPr>
        <w:spacing w:line="360" w:lineRule="auto"/>
        <w:ind w:leftChars="200"/>
        <w:jc w:val="both"/>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（4）实验设备：PH计、紫外-可见分光光度及、离子色谱仪、原子吸收分光光度计、原子荧光光谱仪、冷原子吸收测汞仪。</w:t>
      </w:r>
    </w:p>
    <w:p>
      <w:pPr>
        <w:numPr>
          <w:ilvl w:val="0"/>
          <w:numId w:val="0"/>
        </w:numPr>
        <w:spacing w:line="360" w:lineRule="auto"/>
        <w:ind w:leftChars="200"/>
        <w:jc w:val="both"/>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（5）监测频次：枯水期监测1次</w:t>
      </w:r>
    </w:p>
    <w:p>
      <w:pPr>
        <w:numPr>
          <w:ilvl w:val="0"/>
          <w:numId w:val="0"/>
        </w:numPr>
        <w:spacing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rPr>
        <w:t>具体监测点位详见附图</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w:t>
      </w:r>
    </w:p>
    <w:p>
      <w:pPr>
        <w:numPr>
          <w:ilvl w:val="0"/>
          <w:numId w:val="1"/>
        </w:numPr>
        <w:spacing w:line="360" w:lineRule="auto"/>
        <w:jc w:val="both"/>
        <w:outlineLvl w:val="0"/>
        <w:rPr>
          <w:rFonts w:hint="eastAsia" w:ascii="Times New Roman" w:hAnsi="Times New Roman" w:cs="Times New Roman"/>
          <w:b/>
          <w:bCs/>
          <w:sz w:val="28"/>
          <w:szCs w:val="28"/>
          <w:lang w:val="en-US" w:eastAsia="zh-CN"/>
        </w:rPr>
      </w:pPr>
      <w:bookmarkStart w:id="31" w:name="_Toc20386"/>
      <w:bookmarkStart w:id="32" w:name="_Toc29091"/>
      <w:r>
        <w:rPr>
          <w:rFonts w:hint="eastAsia" w:ascii="Times New Roman" w:hAnsi="Times New Roman" w:cs="Times New Roman"/>
          <w:b/>
          <w:bCs/>
          <w:sz w:val="28"/>
          <w:szCs w:val="28"/>
          <w:lang w:val="en-US" w:eastAsia="zh-CN"/>
        </w:rPr>
        <w:t>样品采集、保存、流转及分析测试</w:t>
      </w:r>
      <w:bookmarkEnd w:id="31"/>
      <w:bookmarkEnd w:id="32"/>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33" w:name="_Toc21629"/>
      <w:bookmarkStart w:id="34" w:name="_Toc29240"/>
      <w:r>
        <w:rPr>
          <w:rFonts w:hint="eastAsia" w:ascii="Times New Roman" w:hAnsi="Times New Roman" w:cs="Times New Roman"/>
          <w:b/>
          <w:bCs/>
          <w:sz w:val="24"/>
          <w:szCs w:val="24"/>
          <w:lang w:val="en-US" w:eastAsia="zh-CN"/>
        </w:rPr>
        <w:t>7.1土壤样品</w:t>
      </w:r>
      <w:bookmarkEnd w:id="33"/>
      <w:bookmarkEnd w:id="34"/>
    </w:p>
    <w:p>
      <w:pPr>
        <w:numPr>
          <w:ilvl w:val="0"/>
          <w:numId w:val="0"/>
        </w:numPr>
        <w:spacing w:line="360" w:lineRule="auto"/>
        <w:jc w:val="both"/>
        <w:outlineLvl w:val="2"/>
        <w:rPr>
          <w:rFonts w:hint="eastAsia" w:ascii="Times New Roman" w:hAnsi="Times New Roman" w:cs="Times New Roman"/>
          <w:b w:val="0"/>
          <w:bCs w:val="0"/>
          <w:sz w:val="24"/>
          <w:szCs w:val="32"/>
          <w:lang w:val="en-US" w:eastAsia="zh-CN"/>
        </w:rPr>
      </w:pPr>
      <w:bookmarkStart w:id="35" w:name="_Toc278"/>
      <w:bookmarkStart w:id="36" w:name="_Toc9978"/>
      <w:r>
        <w:rPr>
          <w:rFonts w:hint="eastAsia" w:ascii="Times New Roman" w:hAnsi="Times New Roman" w:cs="Times New Roman"/>
          <w:b w:val="0"/>
          <w:bCs w:val="0"/>
          <w:sz w:val="24"/>
          <w:szCs w:val="32"/>
          <w:lang w:val="en-US" w:eastAsia="zh-CN"/>
        </w:rPr>
        <w:t>7.1.1土壤样品采集</w:t>
      </w:r>
      <w:bookmarkEnd w:id="35"/>
      <w:bookmarkEnd w:id="36"/>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w:t>
      </w:r>
      <w:r>
        <w:rPr>
          <w:rFonts w:hint="default" w:ascii="Times New Roman" w:hAnsi="Times New Roman" w:cs="Times New Roman"/>
          <w:b w:val="0"/>
          <w:bCs w:val="0"/>
          <w:sz w:val="24"/>
          <w:szCs w:val="32"/>
          <w:lang w:val="en-US" w:eastAsia="zh-CN"/>
        </w:rPr>
        <w:t>1）土壤样品的采集为了保证样品的代表性，减低监测费用，除有机物外采取采集混合样的方案。土壤采样的基本要求为尽量减少土壤扰动，保证土壤样品在采样过程不被二次污染。表层土壤的采集一般采用挖掘方式进行。深层土壤的采集以钻孔取样为主，也可采用槽探的方式进行采样。</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（2）有机物土壤样品必须单独采样，禁止对样品均质化处理，禁止采集混合样。采样后立即将样品装入密封的容器，以减少暴露时间。</w:t>
      </w:r>
    </w:p>
    <w:p>
      <w:pPr>
        <w:numPr>
          <w:ilvl w:val="0"/>
          <w:numId w:val="0"/>
        </w:numPr>
        <w:spacing w:line="360" w:lineRule="auto"/>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（3）挥发性有机物污染、易分解有机物污染土壤的采样，应采用无扰动式的采样方法和工具。钻孔取样可采用快速击入法、快速压入法及回转法采集。</w:t>
      </w:r>
    </w:p>
    <w:p>
      <w:pPr>
        <w:numPr>
          <w:ilvl w:val="0"/>
          <w:numId w:val="0"/>
        </w:numPr>
        <w:spacing w:line="360" w:lineRule="auto"/>
        <w:jc w:val="both"/>
        <w:outlineLvl w:val="2"/>
        <w:rPr>
          <w:rFonts w:hint="default" w:ascii="Times New Roman" w:hAnsi="Times New Roman" w:cs="Times New Roman"/>
          <w:b w:val="0"/>
          <w:bCs w:val="0"/>
          <w:sz w:val="24"/>
          <w:szCs w:val="32"/>
          <w:lang w:val="en-US" w:eastAsia="zh-CN"/>
        </w:rPr>
      </w:pPr>
      <w:bookmarkStart w:id="37" w:name="_Toc19774"/>
      <w:bookmarkStart w:id="38" w:name="_Toc32611"/>
      <w:r>
        <w:rPr>
          <w:rFonts w:hint="eastAsia" w:ascii="Times New Roman" w:hAnsi="Times New Roman" w:cs="Times New Roman"/>
          <w:b w:val="0"/>
          <w:bCs w:val="0"/>
          <w:sz w:val="24"/>
          <w:szCs w:val="32"/>
          <w:lang w:val="en-US" w:eastAsia="zh-CN"/>
        </w:rPr>
        <w:t>7.1.2</w:t>
      </w:r>
      <w:r>
        <w:rPr>
          <w:rFonts w:hint="default" w:ascii="Times New Roman" w:hAnsi="Times New Roman" w:cs="Times New Roman"/>
          <w:b w:val="0"/>
          <w:bCs w:val="0"/>
          <w:sz w:val="24"/>
          <w:szCs w:val="32"/>
          <w:lang w:val="en-US" w:eastAsia="zh-CN"/>
        </w:rPr>
        <w:t>土壤样品的保存与流转</w:t>
      </w:r>
      <w:bookmarkEnd w:id="37"/>
      <w:bookmarkEnd w:id="38"/>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7.1.2.1 保存挥发性有机物污染的土壤样品应采用密封性的采样瓶封装，样品应充满容器整个空间；含易分解有机物的待测定样品，可采取适当的封闭措施（如甲醇或水液封等方式保存于采样瓶中）。样品应置于4℃以下的低温环境（如冰箱）中运输、保存，避免运输、保存过程中的挥发损失，送至实验室后应尽快分析测试。挥发性有机物浓度较高的样品装瓶后应密封在塑料袋中，避免交叉污染，应通过运输空白样来控制运输和保存过程中交叉污染情况。</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7.1.2.2 流转</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样品需流转的，应在样品装运前必须逐件登记，样品标签和采样记录进行核对，保存核对记录。</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实验室样品接收人员应确认样品的保存条件和保存方式是否符合要求。收样实验室应清点核实样品数量，并在样品运送单上签字确认。</w:t>
      </w:r>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39" w:name="_Toc10401"/>
      <w:bookmarkStart w:id="40" w:name="_Toc909"/>
      <w:r>
        <w:rPr>
          <w:rFonts w:hint="default" w:ascii="Times New Roman" w:hAnsi="Times New Roman" w:cs="Times New Roman"/>
          <w:b/>
          <w:bCs/>
          <w:sz w:val="24"/>
          <w:szCs w:val="24"/>
          <w:lang w:val="en-US" w:eastAsia="zh-CN"/>
        </w:rPr>
        <w:t>7.2 地下水样品</w:t>
      </w:r>
      <w:bookmarkEnd w:id="39"/>
      <w:bookmarkEnd w:id="40"/>
    </w:p>
    <w:p>
      <w:pPr>
        <w:numPr>
          <w:ilvl w:val="0"/>
          <w:numId w:val="0"/>
        </w:numPr>
        <w:spacing w:line="360" w:lineRule="auto"/>
        <w:jc w:val="both"/>
        <w:outlineLvl w:val="2"/>
        <w:rPr>
          <w:rFonts w:hint="eastAsia" w:ascii="Times New Roman" w:hAnsi="Times New Roman" w:cs="Times New Roman"/>
          <w:b w:val="0"/>
          <w:bCs w:val="0"/>
          <w:sz w:val="24"/>
          <w:szCs w:val="32"/>
          <w:lang w:val="en-US" w:eastAsia="zh-CN"/>
        </w:rPr>
      </w:pPr>
      <w:bookmarkStart w:id="41" w:name="_Toc30166"/>
      <w:bookmarkStart w:id="42" w:name="_Toc14987"/>
      <w:r>
        <w:rPr>
          <w:rFonts w:hint="default" w:ascii="Times New Roman" w:hAnsi="Times New Roman" w:cs="Times New Roman"/>
          <w:b w:val="0"/>
          <w:bCs w:val="0"/>
          <w:sz w:val="24"/>
          <w:szCs w:val="32"/>
          <w:lang w:val="en-US" w:eastAsia="zh-CN"/>
        </w:rPr>
        <w:t>7.2.1 地下水采集</w:t>
      </w:r>
      <w:bookmarkEnd w:id="41"/>
      <w:bookmarkEnd w:id="42"/>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地下水水质监测通常采集瞬时水样。如需监测水位，应在采样前进行，从井中采集水样必须在充分抽吸后进行，抽吸水量不得少于井内水体积的2倍。</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各监测因子采样要求参照《地下水环境监测技术规范》（HJ/T164-2004）进行。</w:t>
      </w:r>
    </w:p>
    <w:p>
      <w:pPr>
        <w:numPr>
          <w:ilvl w:val="0"/>
          <w:numId w:val="0"/>
        </w:numPr>
        <w:spacing w:line="360" w:lineRule="auto"/>
        <w:jc w:val="both"/>
        <w:outlineLvl w:val="2"/>
        <w:rPr>
          <w:rFonts w:hint="eastAsia" w:ascii="Times New Roman" w:hAnsi="Times New Roman" w:cs="Times New Roman"/>
          <w:b w:val="0"/>
          <w:bCs w:val="0"/>
          <w:sz w:val="24"/>
          <w:szCs w:val="32"/>
          <w:lang w:val="en-US" w:eastAsia="zh-CN"/>
        </w:rPr>
      </w:pPr>
      <w:bookmarkStart w:id="43" w:name="_Toc21322"/>
      <w:bookmarkStart w:id="44" w:name="_Toc18448"/>
      <w:r>
        <w:rPr>
          <w:rFonts w:hint="default" w:ascii="Times New Roman" w:hAnsi="Times New Roman" w:cs="Times New Roman"/>
          <w:b w:val="0"/>
          <w:bCs w:val="0"/>
          <w:sz w:val="24"/>
          <w:szCs w:val="32"/>
          <w:lang w:val="en-US" w:eastAsia="zh-CN"/>
        </w:rPr>
        <w:t>7.2.2 地下水样品的保存与流转</w:t>
      </w:r>
      <w:bookmarkEnd w:id="43"/>
      <w:bookmarkEnd w:id="44"/>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样品装箱前应与采样记录逐件核对，并对样品采取隔离防震措施，气温偏高或偏低时应采取保温措施。</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实验室样品接收人员应确认样品的保存条件和保存方式是否符合要求。收样实验室应清点核实样品数量，并在样品运送单上签字确认。</w:t>
      </w:r>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45" w:name="_Toc550"/>
      <w:bookmarkStart w:id="46" w:name="_Toc20785"/>
      <w:r>
        <w:rPr>
          <w:rFonts w:hint="default" w:ascii="Times New Roman" w:hAnsi="Times New Roman" w:cs="Times New Roman"/>
          <w:b/>
          <w:bCs/>
          <w:sz w:val="24"/>
          <w:szCs w:val="24"/>
          <w:lang w:val="en-US" w:eastAsia="zh-CN"/>
        </w:rPr>
        <w:t>7.3 分析测试</w:t>
      </w:r>
      <w:bookmarkEnd w:id="45"/>
      <w:bookmarkEnd w:id="46"/>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监测样品应由取得计量认证（CMA）资质，具备土壤和地下水分析测试能力的实验室分析测试。检测实验室应在实验室环境、人员、仪器设备和检测能力方面进行质量管理与质量监督以保证检测数据结果的准确可靠。</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样品的监测分析方法应优先选用国家或行业标准分析方法；尚无国家或行业标准分析方法的监测项目，可选用行业统一分析方法或行业规范；采用经过验证等效分析方法，其检出限、准确度和精密度应能达到质控要求。</w:t>
      </w:r>
    </w:p>
    <w:p>
      <w:pPr>
        <w:numPr>
          <w:ilvl w:val="0"/>
          <w:numId w:val="0"/>
        </w:numPr>
        <w:spacing w:line="360" w:lineRule="auto"/>
        <w:jc w:val="both"/>
        <w:outlineLvl w:val="1"/>
        <w:rPr>
          <w:rFonts w:hint="eastAsia" w:ascii="Times New Roman" w:hAnsi="Times New Roman" w:cs="Times New Roman"/>
          <w:b/>
          <w:bCs/>
          <w:sz w:val="24"/>
          <w:szCs w:val="24"/>
          <w:lang w:val="en-US" w:eastAsia="zh-CN"/>
        </w:rPr>
      </w:pPr>
      <w:bookmarkStart w:id="47" w:name="_Toc7323"/>
      <w:bookmarkStart w:id="48" w:name="_Toc1331"/>
      <w:r>
        <w:rPr>
          <w:rFonts w:hint="default" w:ascii="Times New Roman" w:hAnsi="Times New Roman" w:cs="Times New Roman"/>
          <w:b/>
          <w:bCs/>
          <w:sz w:val="24"/>
          <w:szCs w:val="24"/>
          <w:lang w:val="en-US" w:eastAsia="zh-CN"/>
        </w:rPr>
        <w:t>7.4 质量保证与质量控制</w:t>
      </w:r>
      <w:bookmarkEnd w:id="47"/>
      <w:bookmarkEnd w:id="48"/>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7.4.1 监测人员</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为实现质量目标，根据开展的检测项目和管理要求配备具有与其从事检验检测活动相适应的检验检测技术人员和管理人员。从事化学检测的人员应至少具有化学或相关专业专科以上的学历，或者具有10年以上化学检测工作经历。关键检测技术人员，如进行检测结果复核、检测方法验证或确认的人员，除满足上述学历要求外，还应有3年以上本专业领域的检测经历。应掌握化学分析测量不确定度评定的方法，并能就所负责的检测项目进行测量不确定度评定。</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7.4.2 监测设施和环境</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制定《设施和环境条件的控制程序》明确职责，规范检测环境测量和监控过程。</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1、检测环境和设施的建立</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 应有符合检测标准要求和满足仪器设备使用条件的检测环境条件，其中温度、湿度、通风、采光、供电、振动、噪声、粉尘等应予以重视。对检测构成影响的上述参量应予以有效的控制。</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制定《安全作业和人员健康管理程序》配备必要的安全防护装备及设施，如个人防护装备、洗眼装置、灭火器等，并能够定期检查其功能的有效性。</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2、环境和设施的维护</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 对进入影响检测质量的区域进行严格控制，在入口处建立明显的控制标志。</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外来人员进入该区域，需经批准，并在确保其他客户机密信息的前提下由管理人员陪同进入。</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7.4.3 监测仪器设备和实验试剂</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严格按照技术规范和使用要求配置仪器设备及软件、辅助设备和标准物质，其误差、准确度、分辨力、稳定性等技术指标均严格进行控制确保符合使用要求，且保证对检测结果的准确性有影响的实验室关键检测设备为自有设备。</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如果在检测过程必须使用其他单位的仪器设备时，应仅限于使用频率低、价格昂贵或特定的检测仪器设备，同时要对其进行符合性检查确认。</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⑶ 如果要使用未经定型的专用仪器设备时，提供相关技术单位的验证证明。</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⑷ 配制的所有试剂（包括纯水）将加贴标签，并根据适用情况标识成分、浓度、溶剂（除水外）、制备日期和有效期等必要信息。</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7.4.4 监测质量控制</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1、检测结果质量控制要求</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根据每个项目的工作类型和工作量分别选用监控和验证方法，形成质控文件和计划，计划应包括空白分析、重复检测、比对、加标、控制样品的分析、内部质量控制频率、规定限值和超出规定限值时采取的措施，以确保并证明检测过程受控以及检测结果的准确性和可靠性。</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尽可能采用统计技术制定质量控制计划和方案。质量控制计划应覆盖到认可/认定范围内的所有检测项目。</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⑶ 根据《</w:t>
      </w:r>
      <w:r>
        <w:rPr>
          <w:rFonts w:hint="eastAsia" w:ascii="Times New Roman" w:hAnsi="Times New Roman" w:cs="Times New Roman"/>
          <w:b w:val="0"/>
          <w:bCs w:val="0"/>
          <w:sz w:val="24"/>
          <w:szCs w:val="32"/>
          <w:lang w:val="en-US" w:eastAsia="zh-CN"/>
        </w:rPr>
        <w:t>检验检测机构资质认定管理办法</w:t>
      </w:r>
      <w:r>
        <w:rPr>
          <w:rFonts w:hint="default" w:ascii="Times New Roman" w:hAnsi="Times New Roman" w:cs="Times New Roman"/>
          <w:b w:val="0"/>
          <w:bCs w:val="0"/>
          <w:sz w:val="24"/>
          <w:szCs w:val="32"/>
          <w:lang w:val="en-US" w:eastAsia="zh-CN"/>
        </w:rPr>
        <w:t>》的要求建立计划，尽可能参加能力验证或实验室间比对。</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⑷ 在开展新的检测项目或使用新方法时，应规定相应的质量控制方案。</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⑸ 质量控制计划包含内部质量监控和外部质量监控两个部分。</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⑹ 制定内部质量监控计划时应考虑以下因素：检测业务量；检测结果的用途；检测方法本身的稳定性与复杂性；对技术人员经验的依赖程度；参加外部比对（包含能力验证）的频次与结果；人员的能力和经验、人员数量及变动情况；新采用的方法或变更的方法。</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⑺ 制定外部质量监控计划时应考虑以下因素：内部质量控制结果；实验室间比对（包含能力验证）的可获得性，对没有能力验证的领域，应有其他措施来确保结果的准确性和可靠性；客户和管理机构对实验室间比对（包含能力验证）的要求。</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⑻ 一些特殊的检测活动，检测结果无法复现，难以按照《准则5.9.1》进行质量控制，应关注人员的能力、培训、监督以及与同行的技术交流。</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2、定期质控方法</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如果检测方法中规定了内部质量控制计划和程序，包括规定限值，应严格执行。如果检测方法中无此类计划，应采用以下质控方法：</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 参加实验室间的比对或能力验证计划；</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使用有证标准物质和内部质控样品进行内部质量控制；</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⑶ 利用相同或不同方法进行重复检测；</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⑷ 由同一操作人员或两个以上人员对存留样品进行再检测；</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⑸ 同一型号的不同仪器对同一样品进行检测；</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⑹ 分析一个样品不同特性结果的相关性；</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⑺ 空白试验、控制样品的分析、加标等。</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3、日常质控方法</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 在日常分析检测过程中使用有证标准物质或次级标准物质进行结果核查；</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同一操作人员对样品进行平行检测等。</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4、质控结果的确认</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⑴ 所有质量控制的数据和结果均应详细记录，记录方式应利于能够发现检测质量的发展趋势。适用时，应使用控制图监控检测能力。质量控制图和警戒限应基于统计原理，同时应观察和分析控制图显示的异常趋势，必要时采取处理措施。</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⑵ 适用时，应尽可能采用统计技术并和测量不确定度结合起来，对监控和验证结果进行分析，并对所采用监控措施的可行性、实施效果的有效性进行评审。</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⑶ 对于非常规检测项目，应加强内部质量控制措施，必要时进行全面的分析系统验证，包括使用标准物质或已知被分析物浓度的控制样品，然后进行样品或加标样品重复分析，确保检测结果的可靠性和准确性。</w:t>
      </w:r>
    </w:p>
    <w:p>
      <w:pPr>
        <w:numPr>
          <w:ilvl w:val="0"/>
          <w:numId w:val="0"/>
        </w:numPr>
        <w:spacing w:line="360" w:lineRule="auto"/>
        <w:jc w:val="both"/>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⑷ 对不能保证检测质量的措施应当及时予以调整，使其不断完善、改进。</w:t>
      </w:r>
    </w:p>
    <w:p>
      <w:pPr>
        <w:numPr>
          <w:ilvl w:val="0"/>
          <w:numId w:val="1"/>
        </w:numPr>
        <w:spacing w:line="360" w:lineRule="auto"/>
        <w:jc w:val="both"/>
        <w:outlineLvl w:val="0"/>
        <w:rPr>
          <w:rFonts w:hint="eastAsia" w:ascii="Times New Roman" w:hAnsi="Times New Roman" w:cs="Times New Roman"/>
          <w:b/>
          <w:bCs/>
          <w:sz w:val="28"/>
          <w:szCs w:val="28"/>
          <w:lang w:val="en-US" w:eastAsia="zh-CN"/>
        </w:rPr>
      </w:pPr>
      <w:bookmarkStart w:id="49" w:name="_Toc8720"/>
      <w:bookmarkStart w:id="50" w:name="_Toc3501"/>
      <w:r>
        <w:rPr>
          <w:rFonts w:hint="eastAsia" w:ascii="Times New Roman" w:hAnsi="Times New Roman" w:cs="Times New Roman"/>
          <w:b/>
          <w:bCs/>
          <w:sz w:val="28"/>
          <w:szCs w:val="28"/>
          <w:lang w:val="en-US" w:eastAsia="zh-CN"/>
        </w:rPr>
        <w:t>结果评价</w:t>
      </w:r>
      <w:bookmarkEnd w:id="49"/>
      <w:bookmarkEnd w:id="50"/>
    </w:p>
    <w:p>
      <w:pPr>
        <w:numPr>
          <w:ilvl w:val="0"/>
          <w:numId w:val="0"/>
        </w:numPr>
        <w:spacing w:line="360" w:lineRule="auto"/>
        <w:jc w:val="both"/>
        <w:outlineLvl w:val="1"/>
        <w:rPr>
          <w:rFonts w:hint="eastAsia" w:ascii="Times New Roman" w:hAnsi="Times New Roman" w:cs="Times New Roman"/>
          <w:b/>
          <w:bCs/>
          <w:sz w:val="24"/>
          <w:szCs w:val="32"/>
          <w:lang w:val="en-US" w:eastAsia="zh-CN"/>
        </w:rPr>
      </w:pPr>
      <w:bookmarkStart w:id="51" w:name="_Toc3755"/>
      <w:r>
        <w:rPr>
          <w:rFonts w:hint="eastAsia" w:ascii="Times New Roman" w:hAnsi="Times New Roman" w:cs="Times New Roman"/>
          <w:b w:val="0"/>
          <w:bCs w:val="0"/>
          <w:sz w:val="24"/>
          <w:szCs w:val="32"/>
          <w:lang w:val="en-US" w:eastAsia="zh-CN"/>
        </w:rPr>
        <w:t>1、根据分析方法及要求，所用仪器详见下表：</w:t>
      </w:r>
      <w:bookmarkEnd w:id="51"/>
    </w:p>
    <w:p>
      <w:pPr>
        <w:numPr>
          <w:ilvl w:val="0"/>
          <w:numId w:val="0"/>
        </w:numPr>
        <w:spacing w:line="360" w:lineRule="auto"/>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表8-1实验仪器一览表</w:t>
      </w:r>
    </w:p>
    <w:tbl>
      <w:tblPr>
        <w:tblStyle w:val="10"/>
        <w:tblW w:w="85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929"/>
        <w:gridCol w:w="2196"/>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检测项目</w:t>
            </w:r>
          </w:p>
        </w:tc>
        <w:tc>
          <w:tcPr>
            <w:tcW w:w="1929" w:type="dxa"/>
            <w:tcBorders>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仪器编号</w:t>
            </w:r>
          </w:p>
        </w:tc>
        <w:tc>
          <w:tcPr>
            <w:tcW w:w="2196" w:type="dxa"/>
            <w:tcBorders>
              <w:left w:val="single" w:color="auto" w:sz="2" w:space="0"/>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仪器名称</w:t>
            </w:r>
          </w:p>
        </w:tc>
        <w:tc>
          <w:tcPr>
            <w:tcW w:w="1997" w:type="dxa"/>
            <w:tcBorders>
              <w:left w:val="single" w:color="auto" w:sz="2" w:space="0"/>
              <w:bottom w:val="single" w:color="auto" w:sz="2" w:space="0"/>
              <w:right w:val="nil"/>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规格型号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砷</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YHJC-NO-005</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原子荧光光度计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RGF-6200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汞</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YHJC-NO-005</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原子荧光光度计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RGF-6200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镉</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YHJC-NO-001</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原子吸收分光光度计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铅</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YHJC-NO-001</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原子吸收分光光度计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六价铬</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YHJC-NO-001</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原子吸收分光光度计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铜</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YHJC-NO-001</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原子吸收分光光度计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镍</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YHJC-NO-001</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原子吸收分光光度计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锌</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YHJC-NO-001</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原子吸收分光光度计</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top"/>
          </w:tcPr>
          <w:p>
            <w:pPr>
              <w:spacing w:line="24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top"/>
          </w:tcPr>
          <w:p>
            <w:pPr>
              <w:spacing w:line="24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甲苯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top"/>
          </w:tcPr>
          <w:p>
            <w:pPr>
              <w:spacing w:line="24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氯苯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top"/>
          </w:tcPr>
          <w:p>
            <w:pPr>
              <w:spacing w:line="240" w:lineRule="auto"/>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乙苯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间二甲苯+对二甲苯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邻二甲苯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苯乙烯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1,2-二氯苯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1,4-二氯苯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硝基苯</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2-氯酚</w:t>
            </w:r>
          </w:p>
        </w:tc>
        <w:tc>
          <w:tcPr>
            <w:tcW w:w="1929"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YHJC-NO-082</w:t>
            </w:r>
          </w:p>
        </w:tc>
        <w:tc>
          <w:tcPr>
            <w:tcW w:w="2196" w:type="dxa"/>
            <w:tcBorders>
              <w:top w:val="single" w:color="auto" w:sz="2" w:space="0"/>
              <w:left w:val="single" w:color="auto" w:sz="2" w:space="0"/>
              <w:bottom w:val="single" w:color="auto" w:sz="2" w:space="0"/>
              <w:right w:val="single" w:color="auto" w:sz="2" w:space="0"/>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sz w:val="21"/>
                <w:szCs w:val="21"/>
                <w:lang w:val="en-US" w:eastAsia="zh-CN"/>
              </w:rPr>
              <w:t>气相色谱-质谱</w:t>
            </w:r>
          </w:p>
        </w:tc>
        <w:tc>
          <w:tcPr>
            <w:tcW w:w="1997" w:type="dxa"/>
            <w:tcBorders>
              <w:top w:val="single" w:color="auto" w:sz="2" w:space="0"/>
              <w:left w:val="single" w:color="auto" w:sz="2" w:space="0"/>
              <w:bottom w:val="single" w:color="auto" w:sz="2" w:space="0"/>
              <w:right w:val="nil"/>
            </w:tcBorders>
            <w:vAlign w:val="center"/>
          </w:tcPr>
          <w:p>
            <w:pPr>
              <w:widowControl/>
              <w:spacing w:line="240" w:lineRule="auto"/>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000000"/>
                <w:kern w:val="0"/>
                <w:sz w:val="21"/>
                <w:szCs w:val="21"/>
              </w:rPr>
              <w:t>clarusSQ8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p</w:t>
            </w:r>
            <w:r>
              <w:rPr>
                <w:rFonts w:hint="default" w:ascii="Times New Roman" w:hAnsi="Times New Roman" w:cs="Times New Roman" w:eastAsiaTheme="minorEastAsia"/>
                <w:color w:val="auto"/>
                <w:kern w:val="0"/>
                <w:sz w:val="21"/>
                <w:szCs w:val="21"/>
                <w:lang w:bidi="ar"/>
              </w:rPr>
              <w:t>H</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YHJC-NO-018</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bidi="ar"/>
              </w:rPr>
              <w:t>便携式酸度计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PHB-4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bidi="ar"/>
              </w:rPr>
              <w:t>氨氮</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YHJC-NO-027</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bidi="ar"/>
              </w:rPr>
              <w:t>紫外可见分光光度计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val="en-US" w:eastAsia="zh-CN" w:bidi="ar"/>
              </w:rPr>
              <w:t>UV755B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bidi="ar"/>
              </w:rPr>
              <w:t>硝酸盐</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YHJC-NO-006</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bidi="ar"/>
              </w:rPr>
              <w:t>离子色谱仪</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IC-8630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eastAsia="zh-CN" w:bidi="ar"/>
              </w:rPr>
              <w:t>亚硝酸盐</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YHJC-NO-006</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bidi="ar"/>
              </w:rPr>
              <w:t>离子色谱仪</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IC-8630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eastAsia="zh-CN" w:bidi="ar"/>
              </w:rPr>
              <w:t>悬浮物</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w:t>
            </w:r>
            <w:r>
              <w:rPr>
                <w:rFonts w:hint="default" w:ascii="Times New Roman" w:hAnsi="Times New Roman" w:cs="Times New Roman" w:eastAsiaTheme="minorEastAsia"/>
                <w:color w:val="auto"/>
                <w:kern w:val="0"/>
                <w:sz w:val="21"/>
                <w:szCs w:val="21"/>
                <w:lang w:val="en-US" w:eastAsia="zh-CN" w:bidi="ar"/>
              </w:rPr>
              <w:t>30</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电子天平</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PTX-FA210S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eastAsia="zh-CN" w:bidi="ar"/>
              </w:rPr>
              <w:t>耗氧量</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val="en-US" w:eastAsia="zh-CN" w:bidi="ar"/>
              </w:rPr>
              <w:t>--</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eastAsia="zh-CN" w:bidi="ar"/>
              </w:rPr>
              <w:t>酸式滴定管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eastAsia="zh-CN" w:bidi="ar"/>
              </w:rPr>
              <w:t>氯化物</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YHJC-NO-006</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bidi="ar"/>
              </w:rPr>
              <w:t>离子色谱仪</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IC-8630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eastAsia="zh-CN" w:bidi="ar"/>
              </w:rPr>
              <w:t>挥发酚</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bidi="ar"/>
              </w:rPr>
              <w:t>YHJC-NO-027</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bidi="ar"/>
              </w:rPr>
              <w:t>紫外可见分光光度计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auto"/>
                <w:kern w:val="0"/>
                <w:sz w:val="21"/>
                <w:szCs w:val="21"/>
                <w:lang w:val="en-US" w:eastAsia="zh-CN" w:bidi="ar"/>
              </w:rPr>
              <w:t>UV755B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石油类</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YHJC-NO-007</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红外分光测油仪</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OIL460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铅</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1</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val="en-US" w:eastAsia="zh-CN" w:bidi="ar"/>
              </w:rPr>
              <w:t>原子吸收分光光度计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镉</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1</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val="en-US" w:eastAsia="zh-CN" w:bidi="ar"/>
              </w:rPr>
              <w:t>原子吸收分光光度计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铁</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1</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val="en-US" w:eastAsia="zh-CN" w:bidi="ar"/>
              </w:rPr>
              <w:t>原子吸收分光光度计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锰</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1</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val="en-US" w:eastAsia="zh-CN" w:bidi="ar"/>
              </w:rPr>
              <w:t>原子吸收分光光度计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铬</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1</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val="en-US" w:eastAsia="zh-CN" w:bidi="ar"/>
              </w:rPr>
              <w:t>原子吸收分光光度计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锌</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1</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0"/>
                <w:sz w:val="21"/>
                <w:szCs w:val="21"/>
                <w:lang w:val="en-US" w:eastAsia="zh-CN" w:bidi="ar"/>
              </w:rPr>
              <w:t>原子吸收分光光度计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PinAAcle 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砷</w:t>
            </w:r>
          </w:p>
        </w:tc>
        <w:tc>
          <w:tcPr>
            <w:tcW w:w="192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5</w:t>
            </w:r>
          </w:p>
        </w:tc>
        <w:tc>
          <w:tcPr>
            <w:tcW w:w="219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firstLine="210" w:firstLineChars="10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原子荧光光度计</w:t>
            </w:r>
          </w:p>
        </w:tc>
        <w:tc>
          <w:tcPr>
            <w:tcW w:w="1997" w:type="dxa"/>
            <w:tcBorders>
              <w:top w:val="single" w:color="auto" w:sz="2" w:space="0"/>
              <w:left w:val="single" w:color="auto" w:sz="2" w:space="0"/>
              <w:bottom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RGF-6200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5" w:type="dxa"/>
            <w:tcBorders>
              <w:top w:val="single" w:color="auto" w:sz="2" w:space="0"/>
              <w:left w:val="nil"/>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汞</w:t>
            </w:r>
          </w:p>
        </w:tc>
        <w:tc>
          <w:tcPr>
            <w:tcW w:w="1929" w:type="dxa"/>
            <w:tcBorders>
              <w:top w:val="single" w:color="auto" w:sz="2" w:space="0"/>
              <w:left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lang w:bidi="ar"/>
              </w:rPr>
              <w:t>YHJC-NO-00</w:t>
            </w:r>
            <w:r>
              <w:rPr>
                <w:rFonts w:hint="default" w:ascii="Times New Roman" w:hAnsi="Times New Roman" w:cs="Times New Roman" w:eastAsiaTheme="minorEastAsia"/>
                <w:color w:val="000000"/>
                <w:kern w:val="0"/>
                <w:sz w:val="21"/>
                <w:szCs w:val="21"/>
                <w:lang w:val="en-US" w:eastAsia="zh-CN" w:bidi="ar"/>
              </w:rPr>
              <w:t>5</w:t>
            </w:r>
          </w:p>
        </w:tc>
        <w:tc>
          <w:tcPr>
            <w:tcW w:w="2196" w:type="dxa"/>
            <w:tcBorders>
              <w:top w:val="single" w:color="auto" w:sz="2" w:space="0"/>
              <w:left w:val="single" w:color="auto" w:sz="2" w:space="0"/>
              <w:right w:val="single" w:color="auto" w:sz="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right="-336" w:rightChars="-160" w:firstLine="210" w:firstLineChars="10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原子荧光光度计</w:t>
            </w:r>
          </w:p>
        </w:tc>
        <w:tc>
          <w:tcPr>
            <w:tcW w:w="1997" w:type="dxa"/>
            <w:tcBorders>
              <w:top w:val="single" w:color="auto" w:sz="2" w:space="0"/>
              <w:left w:val="single" w:color="auto" w:sz="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RGF-6200</w:t>
            </w:r>
          </w:p>
        </w:tc>
      </w:tr>
    </w:tbl>
    <w:p>
      <w:pPr>
        <w:numPr>
          <w:ilvl w:val="0"/>
          <w:numId w:val="4"/>
        </w:numPr>
        <w:spacing w:line="360" w:lineRule="auto"/>
        <w:jc w:val="both"/>
        <w:outlineLvl w:val="1"/>
        <w:rPr>
          <w:rFonts w:hint="eastAsia" w:ascii="Times New Roman" w:hAnsi="Times New Roman" w:cs="Times New Roman"/>
          <w:b w:val="0"/>
          <w:bCs w:val="0"/>
          <w:sz w:val="24"/>
          <w:szCs w:val="32"/>
          <w:lang w:val="en-US" w:eastAsia="zh-CN"/>
        </w:rPr>
      </w:pPr>
      <w:bookmarkStart w:id="52" w:name="_Toc25757"/>
      <w:r>
        <w:rPr>
          <w:rFonts w:hint="eastAsia" w:ascii="Times New Roman" w:hAnsi="Times New Roman" w:cs="Times New Roman"/>
          <w:b w:val="0"/>
          <w:bCs w:val="0"/>
          <w:sz w:val="24"/>
          <w:szCs w:val="32"/>
          <w:lang w:val="en-US" w:eastAsia="zh-CN"/>
        </w:rPr>
        <w:t>检测结果</w:t>
      </w:r>
      <w:bookmarkEnd w:id="52"/>
    </w:p>
    <w:p>
      <w:pPr>
        <w:numPr>
          <w:ilvl w:val="0"/>
          <w:numId w:val="0"/>
        </w:numPr>
        <w:spacing w:line="360" w:lineRule="auto"/>
        <w:ind w:firstLine="480" w:firstLineChars="200"/>
        <w:jc w:val="both"/>
        <w:rPr>
          <w:rFonts w:hint="eastAsia" w:ascii="Times New Roman" w:hAnsi="Times New Roman" w:cs="Times New Roman"/>
          <w:b w:val="0"/>
          <w:bCs w:val="0"/>
          <w:sz w:val="24"/>
          <w:szCs w:val="32"/>
          <w:lang w:val="en-US" w:eastAsia="zh-CN"/>
        </w:rPr>
      </w:pPr>
      <w:r>
        <w:rPr>
          <w:rFonts w:hint="eastAsia" w:ascii="Times New Roman" w:hAnsi="Times New Roman" w:cs="Times New Roman"/>
          <w:b w:val="0"/>
          <w:bCs w:val="0"/>
          <w:sz w:val="24"/>
          <w:szCs w:val="32"/>
          <w:lang w:val="en-US" w:eastAsia="zh-CN"/>
        </w:rPr>
        <w:t>2019年10月吉林省云海技术检测服务有限公司对长春市报废汽车回收中心有限公司土壤及地下水环境质量现状进行了监测，监测结果详见下表。</w:t>
      </w:r>
    </w:p>
    <w:p>
      <w:pPr>
        <w:numPr>
          <w:ilvl w:val="0"/>
          <w:numId w:val="0"/>
        </w:numPr>
        <w:spacing w:line="360" w:lineRule="auto"/>
        <w:jc w:val="center"/>
        <w:rPr>
          <w:rFonts w:hint="default" w:ascii="Times New Roman" w:hAnsi="Times New Roman" w:cs="Times New Roman"/>
          <w:b/>
          <w:bCs/>
          <w:sz w:val="24"/>
          <w:lang w:val="en-US" w:eastAsia="zh-CN"/>
        </w:rPr>
      </w:pPr>
      <w:r>
        <w:rPr>
          <w:rFonts w:hint="eastAsia" w:ascii="Times New Roman" w:hAnsi="Times New Roman" w:cs="Times New Roman"/>
          <w:b/>
          <w:bCs/>
          <w:sz w:val="24"/>
          <w:szCs w:val="32"/>
          <w:lang w:val="en-US" w:eastAsia="zh-CN"/>
        </w:rPr>
        <w:t>表8-2 土壤监测结果   结果</w:t>
      </w:r>
      <w:r>
        <w:rPr>
          <w:rFonts w:hint="eastAsia" w:ascii="宋体" w:hAnsi="宋体" w:cs="宋体"/>
          <w:b/>
          <w:bCs/>
          <w:sz w:val="24"/>
          <w:lang w:val="en-US" w:eastAsia="zh-CN"/>
        </w:rPr>
        <w:t>单位</w:t>
      </w:r>
      <w:r>
        <w:rPr>
          <w:rFonts w:hint="default" w:ascii="Times New Roman" w:hAnsi="Times New Roman" w:cs="Times New Roman"/>
          <w:b/>
          <w:bCs/>
          <w:sz w:val="24"/>
          <w:lang w:val="en-US" w:eastAsia="zh-CN"/>
        </w:rPr>
        <w:t>：mg/kg</w:t>
      </w:r>
    </w:p>
    <w:tbl>
      <w:tblPr>
        <w:tblStyle w:val="10"/>
        <w:tblW w:w="95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230"/>
        <w:gridCol w:w="1575"/>
        <w:gridCol w:w="1500"/>
        <w:gridCol w:w="1545"/>
        <w:gridCol w:w="1545"/>
        <w:gridCol w:w="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14"/>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vertAlign w:val="baseline"/>
                <w:lang w:val="en-US" w:eastAsia="zh-CN"/>
              </w:rPr>
            </w:pPr>
          </w:p>
          <w:p>
            <w:pPr>
              <w:pStyle w:val="14"/>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vertAlign w:val="baseline"/>
                <w:lang w:val="en-US" w:eastAsia="zh-CN"/>
              </w:rPr>
            </w:pPr>
          </w:p>
          <w:p>
            <w:pPr>
              <w:pStyle w:val="14"/>
              <w:keepNext w:val="0"/>
              <w:keepLines w:val="0"/>
              <w:pageBreakBefore w:val="0"/>
              <w:widowControl w:val="0"/>
              <w:kinsoku/>
              <w:wordWrap/>
              <w:overflowPunct/>
              <w:topLinePunct w:val="0"/>
              <w:bidi w:val="0"/>
              <w:snapToGrid w:val="0"/>
              <w:spacing w:line="240" w:lineRule="auto"/>
              <w:jc w:val="center"/>
              <w:textAlignment w:val="auto"/>
              <mc:AlternateContent>
                <mc:Choice Requires="wpsCustomData">
                  <wpsCustomData:diagonalParaType/>
                </mc:Choice>
              </mc:AlternateContent>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项目</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地点</w:t>
            </w:r>
          </w:p>
        </w:tc>
        <w:tc>
          <w:tcPr>
            <w:tcW w:w="123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检测时间</w:t>
            </w:r>
          </w:p>
        </w:tc>
        <w:tc>
          <w:tcPr>
            <w:tcW w:w="157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杨家小区</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（0.2m）</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杨家小区</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（0.5m）</w:t>
            </w:r>
          </w:p>
        </w:tc>
        <w:tc>
          <w:tcPr>
            <w:tcW w:w="154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 下风向厂界东北侧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（0.2m）</w:t>
            </w:r>
          </w:p>
        </w:tc>
        <w:tc>
          <w:tcPr>
            <w:tcW w:w="154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 下风向厂界东北侧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（0.5m）</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砷</w:t>
            </w:r>
          </w:p>
        </w:tc>
        <w:tc>
          <w:tcPr>
            <w:tcW w:w="1230" w:type="dxa"/>
            <w:vMerge w:val="restart"/>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2019.10.</w:t>
            </w:r>
            <w:r>
              <w:rPr>
                <w:rFonts w:hint="eastAsia" w:ascii="Times New Roman" w:cs="Times New Roman"/>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5</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9.33</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9.39</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9.45</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9.41</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汞</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0.026</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0.025</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0.028</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0.022</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镉</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0.15</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0.13</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0.17</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0.14</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铅</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18.7</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19.2</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19.8</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18.6</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六价铬</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2L</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铜</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20.8</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19.5</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23.5</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21.4</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镍</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22.4</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21.5</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23.8</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24.7</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lang w:eastAsia="zh-CN"/>
              </w:rPr>
              <w:t>锌</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48</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45</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47</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44</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乙苯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间二甲苯+对二甲苯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邻二甲苯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苯乙烯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1,2-二氯苯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1,4-二氯苯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硝基苯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2-氯酚</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14"/>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vertAlign w:val="baseline"/>
                <w:lang w:val="en-US" w:eastAsia="zh-CN"/>
              </w:rPr>
            </w:pPr>
          </w:p>
          <w:p>
            <w:pPr>
              <w:pStyle w:val="14"/>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vertAlign w:val="baseline"/>
                <w:lang w:val="en-US" w:eastAsia="zh-CN"/>
              </w:rPr>
            </w:pPr>
          </w:p>
          <w:p>
            <w:pPr>
              <w:pStyle w:val="14"/>
              <w:keepNext w:val="0"/>
              <w:keepLines w:val="0"/>
              <w:pageBreakBefore w:val="0"/>
              <w:widowControl w:val="0"/>
              <w:kinsoku/>
              <w:wordWrap/>
              <w:overflowPunct/>
              <w:topLinePunct w:val="0"/>
              <w:bidi w:val="0"/>
              <w:snapToGrid w:val="0"/>
              <w:spacing w:line="240" w:lineRule="auto"/>
              <w:jc w:val="center"/>
              <w:textAlignment w:val="auto"/>
              <mc:AlternateContent>
                <mc:Choice Requires="wpsCustomData">
                  <wpsCustomData:diagonalParaType/>
                </mc:Choice>
              </mc:AlternateContent>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项目</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地点</w:t>
            </w:r>
          </w:p>
        </w:tc>
        <w:tc>
          <w:tcPr>
            <w:tcW w:w="123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检测时间</w:t>
            </w:r>
          </w:p>
        </w:tc>
        <w:tc>
          <w:tcPr>
            <w:tcW w:w="157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 下风向厂界东北侧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（0.2m）</w:t>
            </w:r>
          </w:p>
        </w:tc>
        <w:tc>
          <w:tcPr>
            <w:tcW w:w="15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 下风向厂界东北侧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（0.5m）</w:t>
            </w:r>
          </w:p>
        </w:tc>
        <w:tc>
          <w:tcPr>
            <w:tcW w:w="154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 下风向厂界东北侧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（0.2m）</w:t>
            </w:r>
          </w:p>
        </w:tc>
        <w:tc>
          <w:tcPr>
            <w:tcW w:w="154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 下风向厂界东北侧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（0.5m）</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砷</w:t>
            </w:r>
          </w:p>
        </w:tc>
        <w:tc>
          <w:tcPr>
            <w:tcW w:w="1230" w:type="dxa"/>
            <w:vMerge w:val="restart"/>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2019.10.</w:t>
            </w:r>
            <w:r>
              <w:rPr>
                <w:rFonts w:hint="eastAsia" w:ascii="Times New Roman" w:cs="Times New Roman"/>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5</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9.37</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9.41</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9.41</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9.35</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汞</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0.024</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0.026</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0.031</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0.022</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镉</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0.19</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0.17</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0.21</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0.28</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铅</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20.1</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19.4</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19.7</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18.5</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六价铬</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铜</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22.9</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23.4</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25.8</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24.9</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镍</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25.2</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25.9</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24.5</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23.7</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lang w:eastAsia="zh-CN"/>
              </w:rPr>
              <w:t>锌</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28</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25</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37</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35</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乙苯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间二甲苯+对二甲苯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邻二甲苯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苯乙烯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1,2-二氯苯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1,4-二氯苯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硝基苯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2-氯酚</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14"/>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vertAlign w:val="baseline"/>
                <w:lang w:val="en-US" w:eastAsia="zh-CN"/>
              </w:rPr>
            </w:pPr>
          </w:p>
          <w:p>
            <w:pPr>
              <w:pStyle w:val="14"/>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vertAlign w:val="baseline"/>
                <w:lang w:val="en-US" w:eastAsia="zh-CN"/>
              </w:rPr>
            </w:pPr>
          </w:p>
          <w:p>
            <w:pPr>
              <w:pStyle w:val="14"/>
              <w:keepNext w:val="0"/>
              <w:keepLines w:val="0"/>
              <w:pageBreakBefore w:val="0"/>
              <w:widowControl w:val="0"/>
              <w:kinsoku/>
              <w:wordWrap/>
              <w:overflowPunct/>
              <w:topLinePunct w:val="0"/>
              <w:bidi w:val="0"/>
              <w:snapToGrid w:val="0"/>
              <w:spacing w:line="240" w:lineRule="auto"/>
              <w:jc w:val="center"/>
              <w:textAlignment w:val="auto"/>
              <mc:AlternateContent>
                <mc:Choice Requires="wpsCustomData">
                  <wpsCustomData:diagonalParaType/>
                </mc:Choice>
              </mc:AlternateContent>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项目</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地点</w:t>
            </w:r>
          </w:p>
        </w:tc>
        <w:tc>
          <w:tcPr>
            <w:tcW w:w="123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检测时间</w:t>
            </w:r>
          </w:p>
        </w:tc>
        <w:tc>
          <w:tcPr>
            <w:tcW w:w="157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4#厂区外东侧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（0.2m）</w:t>
            </w:r>
          </w:p>
        </w:tc>
        <w:tc>
          <w:tcPr>
            <w:tcW w:w="15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4#厂区外东侧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（0.5m）</w:t>
            </w:r>
          </w:p>
        </w:tc>
        <w:tc>
          <w:tcPr>
            <w:tcW w:w="154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5#厂区外东侧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（0.2m）</w:t>
            </w:r>
          </w:p>
        </w:tc>
        <w:tc>
          <w:tcPr>
            <w:tcW w:w="1545" w:type="dxa"/>
            <w:tcBorders>
              <w:tl2br w:val="nil"/>
              <w:tr2bl w:val="nil"/>
            </w:tcBorders>
            <w:vAlign w:val="center"/>
          </w:tcPr>
          <w:p>
            <w:pPr>
              <w:keepNext w:val="0"/>
              <w:keepLines w:val="0"/>
              <w:pageBreakBefore w:val="0"/>
              <w:widowControl w:val="0"/>
              <w:numPr>
                <w:ilvl w:val="0"/>
                <w:numId w:val="0"/>
              </w:numPr>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5#厂区外东侧</w:t>
            </w:r>
          </w:p>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（0.5m）</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砷</w:t>
            </w:r>
          </w:p>
        </w:tc>
        <w:tc>
          <w:tcPr>
            <w:tcW w:w="1230" w:type="dxa"/>
            <w:vMerge w:val="restart"/>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2019.10.</w:t>
            </w:r>
            <w:r>
              <w:rPr>
                <w:rFonts w:hint="eastAsia" w:ascii="Times New Roman" w:cs="Times New Roman"/>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5</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9.42</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9.56</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9.47</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9.28</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汞</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0.031</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0.028</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0.034</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0.039</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镉</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0.17</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0.19</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0.21</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0.15</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铅</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19.3</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18.8</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19.3</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18.2</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六价铬</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铜</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23.5</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22.9</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23.8</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24.1</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镍</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26.7</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25.8</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26.7</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26.3</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lang w:eastAsia="zh-CN"/>
              </w:rPr>
              <w:t>锌</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42</w:t>
            </w:r>
          </w:p>
        </w:tc>
        <w:tc>
          <w:tcPr>
            <w:tcW w:w="150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47</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2"/>
                <w:sz w:val="21"/>
                <w:szCs w:val="21"/>
                <w:lang w:val="en-US" w:eastAsia="zh-CN" w:bidi="ar-SA"/>
              </w:rPr>
              <w:t>48</w:t>
            </w:r>
          </w:p>
        </w:tc>
        <w:tc>
          <w:tcPr>
            <w:tcW w:w="1545"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41</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乙苯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间二甲苯+对二甲苯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0.0036L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邻二甲苯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0.0013L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苯乙烯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0.0016L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1,2-二氯苯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1,4-二氯苯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sz w:val="21"/>
                <w:szCs w:val="21"/>
                <w:lang w:val="en-US" w:eastAsia="zh-CN"/>
              </w:rPr>
              <w:t>0.0012L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rPr>
              <w:t>硝基苯</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0.09</w:t>
            </w:r>
            <w:r>
              <w:rPr>
                <w:rFonts w:hint="eastAsia" w:ascii="Times New Roman" w:hAnsi="Times New Roman" w:cs="Times New Roman"/>
                <w:sz w:val="21"/>
                <w:szCs w:val="21"/>
                <w:lang w:val="en-US" w:eastAsia="zh-CN"/>
              </w:rPr>
              <w:t>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2-氯酚</w:t>
            </w:r>
          </w:p>
        </w:tc>
        <w:tc>
          <w:tcPr>
            <w:tcW w:w="1230" w:type="dxa"/>
            <w:vMerge w:val="continue"/>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157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00"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1545" w:type="dxa"/>
            <w:tcBorders>
              <w:tl2br w:val="nil"/>
              <w:tr2bl w:val="nil"/>
            </w:tcBorders>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0.063</w:t>
            </w:r>
            <w:r>
              <w:rPr>
                <w:rFonts w:hint="eastAsia" w:ascii="Times New Roman" w:hAnsi="Times New Roman" w:cs="Times New Roman"/>
                <w:sz w:val="21"/>
                <w:szCs w:val="21"/>
                <w:lang w:val="en-US" w:eastAsia="zh-CN"/>
              </w:rPr>
              <w:t>L</w:t>
            </w:r>
          </w:p>
        </w:tc>
        <w:tc>
          <w:tcPr>
            <w:tcW w:w="950" w:type="dxa"/>
            <w:tcBorders>
              <w:tl2br w:val="nil"/>
              <w:tr2bl w:val="nil"/>
            </w:tcBorders>
            <w:vAlign w:val="center"/>
          </w:tcPr>
          <w:p>
            <w:pPr>
              <w:pStyle w:val="14"/>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2256</w:t>
            </w:r>
          </w:p>
        </w:tc>
      </w:tr>
    </w:tbl>
    <w:p>
      <w:pPr>
        <w:pStyle w:val="14"/>
        <w:rPr>
          <w:rFonts w:hint="default" w:ascii="Times New Roman" w:hAnsi="Times New Roman" w:cs="Times New Roman"/>
          <w:sz w:val="21"/>
          <w:szCs w:val="21"/>
          <w:lang w:val="en-US" w:eastAsia="zh-CN"/>
        </w:rPr>
      </w:pPr>
      <w:r>
        <w:rPr>
          <w:rFonts w:hint="default" w:ascii="Times New Roman" w:hAnsi="Times New Roman" w:cs="Times New Roman"/>
          <w:b/>
          <w:bCs/>
          <w:sz w:val="21"/>
          <w:szCs w:val="21"/>
        </w:rPr>
        <w:t>说明：检测结果低于检出限，报检出限加L</w:t>
      </w:r>
    </w:p>
    <w:p>
      <w:pPr>
        <w:numPr>
          <w:ilvl w:val="0"/>
          <w:numId w:val="0"/>
        </w:numPr>
        <w:spacing w:line="360" w:lineRule="auto"/>
        <w:jc w:val="both"/>
        <w:rPr>
          <w:rFonts w:hint="eastAsia" w:ascii="Times New Roman" w:hAnsi="Times New Roman" w:cs="Times New Roman"/>
          <w:b/>
          <w:bCs/>
          <w:sz w:val="24"/>
          <w:szCs w:val="32"/>
          <w:lang w:val="en-US" w:eastAsia="zh-CN"/>
        </w:rPr>
      </w:pPr>
    </w:p>
    <w:p>
      <w:pPr>
        <w:numPr>
          <w:ilvl w:val="0"/>
          <w:numId w:val="0"/>
        </w:numPr>
        <w:spacing w:line="360" w:lineRule="auto"/>
        <w:jc w:val="center"/>
        <w:rPr>
          <w:rFonts w:hint="eastAsia" w:ascii="Times New Roman" w:hAnsi="Times New Roman" w:cs="Times New Roman"/>
          <w:b/>
          <w:bCs/>
          <w:sz w:val="24"/>
          <w:szCs w:val="32"/>
          <w:lang w:val="en-US" w:eastAsia="zh-CN"/>
        </w:rPr>
      </w:pPr>
      <w:r>
        <w:rPr>
          <w:rFonts w:hint="eastAsia" w:ascii="Times New Roman" w:hAnsi="Times New Roman" w:cs="Times New Roman"/>
          <w:b/>
          <w:bCs/>
          <w:sz w:val="24"/>
          <w:szCs w:val="24"/>
          <w:lang w:val="en-US" w:eastAsia="zh-CN"/>
        </w:rPr>
        <w:t>表8-3 地下水监测结果   结果单位:mg/L（pH无量纲）</w:t>
      </w:r>
    </w:p>
    <w:tbl>
      <w:tblPr>
        <w:tblStyle w:val="10"/>
        <w:tblW w:w="9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2538"/>
        <w:gridCol w:w="2538"/>
        <w:gridCol w:w="2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04"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kinsoku/>
              <w:wordWrap/>
              <w:overflowPunct/>
              <w:topLinePunct w:val="0"/>
              <w:autoSpaceDE/>
              <w:autoSpaceDN/>
              <w:bidi w:val="0"/>
              <w:adjustRightInd/>
              <w:snapToGrid w:val="0"/>
              <w:spacing w:line="300" w:lineRule="auto"/>
              <w:jc w:val="center"/>
              <w:rPr>
                <w:rFonts w:hint="default" w:ascii="Times New Roman" w:hAnsi="Times New Roman" w:eastAsia="宋体" w:cs="Times New Roman"/>
                <w:b w:val="0"/>
                <w:bCs w:val="0"/>
                <w:color w:val="auto"/>
                <w:sz w:val="21"/>
                <w:szCs w:val="21"/>
              </w:rPr>
            </w:pPr>
          </w:p>
          <w:p>
            <w:pPr>
              <w:keepNext w:val="0"/>
              <w:keepLines w:val="0"/>
              <w:pageBreakBefore w:val="0"/>
              <w:kinsoku/>
              <w:wordWrap/>
              <w:overflowPunct/>
              <w:topLinePunct w:val="0"/>
              <w:autoSpaceDE/>
              <w:autoSpaceDN/>
              <w:bidi w:val="0"/>
              <w:adjustRightInd/>
              <w:snapToGrid w:val="0"/>
              <w:spacing w:line="30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项目</w:t>
            </w:r>
          </w:p>
          <w:p>
            <w:pPr>
              <w:keepNext w:val="0"/>
              <w:keepLines w:val="0"/>
              <w:pageBreakBefore w:val="0"/>
              <w:kinsoku/>
              <w:wordWrap/>
              <w:overflowPunct/>
              <w:topLinePunct w:val="0"/>
              <w:autoSpaceDE/>
              <w:autoSpaceDN/>
              <w:bidi w:val="0"/>
              <w:adjustRightInd/>
              <w:snapToGrid w:val="0"/>
              <w:spacing w:line="300" w:lineRule="auto"/>
              <w:jc w:val="center"/>
              <mc:AlternateContent>
                <mc:Choice Requires="wpsCustomData">
                  <wpsCustomData:diagonalParaType/>
                </mc:Choice>
              </mc:AlternateConten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地点</w:t>
            </w:r>
          </w:p>
        </w:tc>
        <w:tc>
          <w:tcPr>
            <w:tcW w:w="25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检测时间</w:t>
            </w:r>
          </w:p>
        </w:tc>
        <w:tc>
          <w:tcPr>
            <w:tcW w:w="25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厂区内水井</w:t>
            </w:r>
          </w:p>
          <w:p>
            <w:pPr>
              <w:pStyle w:val="2"/>
              <w:keepNext w:val="0"/>
              <w:keepLines w:val="0"/>
              <w:pageBreakBefore w:val="0"/>
              <w:kinsoku/>
              <w:wordWrap/>
              <w:overflowPunct/>
              <w:topLinePunct w:val="0"/>
              <w:autoSpaceDE/>
              <w:autoSpaceDN/>
              <w:bidi w:val="0"/>
              <w:adjustRightInd/>
              <w:spacing w:line="300" w:lineRule="auto"/>
              <w:ind w:left="0" w:leftChars="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kern w:val="2"/>
                <w:sz w:val="21"/>
                <w:szCs w:val="21"/>
                <w:lang w:val="en-US" w:eastAsia="zh-CN" w:bidi="ar-SA"/>
              </w:rPr>
              <w:t>（80m）</w:t>
            </w:r>
          </w:p>
        </w:tc>
        <w:tc>
          <w:tcPr>
            <w:tcW w:w="25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 w:val="21"/>
                <w:szCs w:val="21"/>
                <w:lang w:val="en-US" w:eastAsia="zh-CN"/>
              </w:rPr>
              <w:t>p</w:t>
            </w:r>
            <w:r>
              <w:rPr>
                <w:rFonts w:hint="default" w:ascii="Times New Roman" w:hAnsi="Times New Roman" w:cs="Times New Roman"/>
                <w:b w:val="0"/>
                <w:bCs w:val="0"/>
                <w:color w:val="auto"/>
                <w:kern w:val="0"/>
                <w:sz w:val="21"/>
                <w:szCs w:val="21"/>
              </w:rPr>
              <w:t>H</w:t>
            </w:r>
          </w:p>
        </w:tc>
        <w:tc>
          <w:tcPr>
            <w:tcW w:w="25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2019.10.15</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7.64</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氨氮</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ind w:left="1050" w:leftChars="0" w:hanging="1050" w:hangingChars="500"/>
              <w:jc w:val="center"/>
              <w:textAlignment w:val="center"/>
              <w:rPr>
                <w:rFonts w:hint="default" w:ascii="Times New Roman" w:hAnsi="Times New Roman" w:eastAsia="宋体" w:cs="Times New Roman"/>
                <w:b w:val="0"/>
                <w:bCs w:val="0"/>
                <w:color w:val="auto"/>
                <w:sz w:val="21"/>
                <w:szCs w:val="21"/>
                <w:lang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ind w:left="1050" w:leftChars="0" w:hanging="1050" w:hangingChars="50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0.169</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ind w:left="1050" w:leftChars="0" w:hanging="1050" w:hangingChars="50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硝酸盐</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b w:val="0"/>
                <w:bCs w:val="0"/>
                <w:color w:val="auto"/>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1.08</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亚硝酸盐</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0.016L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 w:val="21"/>
                <w:szCs w:val="21"/>
                <w:lang w:val="en-US" w:eastAsia="zh-CN"/>
              </w:rPr>
              <w:t>悬浮物</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b w:val="0"/>
                <w:bCs w:val="0"/>
                <w:color w:val="auto"/>
                <w:kern w:val="0"/>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耗氧量</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1.4</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氯</w:t>
            </w:r>
            <w:r>
              <w:rPr>
                <w:rFonts w:hint="default" w:ascii="Times New Roman" w:hAnsi="Times New Roman" w:cs="Times New Roman"/>
                <w:b w:val="0"/>
                <w:bCs w:val="0"/>
                <w:color w:val="auto"/>
                <w:sz w:val="21"/>
                <w:szCs w:val="21"/>
                <w:lang w:eastAsia="zh-CN"/>
              </w:rPr>
              <w:t>化物</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18.2</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挥发酚</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0.0003L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cs="Times New Roman"/>
                <w:b w:val="0"/>
                <w:bCs w:val="0"/>
                <w:color w:val="auto"/>
                <w:kern w:val="0"/>
                <w:sz w:val="21"/>
                <w:szCs w:val="21"/>
                <w:lang w:val="en-US" w:eastAsia="zh-CN" w:bidi="ar"/>
              </w:rPr>
              <w:t>石油类</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0.01L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镉</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ind w:left="1050" w:leftChars="0" w:hanging="1050" w:hangingChars="500"/>
              <w:jc w:val="center"/>
              <w:textAlignment w:val="center"/>
              <w:rPr>
                <w:rFonts w:hint="default" w:ascii="Times New Roman" w:hAnsi="Times New Roman" w:eastAsia="宋体" w:cs="Times New Roman"/>
                <w:b w:val="0"/>
                <w:bCs w:val="0"/>
                <w:color w:val="auto"/>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ind w:left="1050" w:leftChars="0" w:hanging="1050" w:hangingChars="50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ind w:left="1050" w:leftChars="0" w:hanging="1050" w:hangingChars="50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铁</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0.112</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锰</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铬（六价）</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0.004L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锌</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0.259</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砷</w:t>
            </w:r>
          </w:p>
        </w:tc>
        <w:tc>
          <w:tcPr>
            <w:tcW w:w="25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rPr>
            </w:pP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0.3L</w:t>
            </w:r>
          </w:p>
        </w:tc>
        <w:tc>
          <w:tcPr>
            <w:tcW w:w="25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r>
    </w:tbl>
    <w:p>
      <w:pPr>
        <w:pStyle w:val="14"/>
        <w:jc w:val="left"/>
        <w:rPr>
          <w:rFonts w:hint="default" w:ascii="Times New Roman" w:hAnsi="Times New Roman" w:cs="Times New Roman"/>
        </w:rPr>
      </w:pPr>
      <w:r>
        <w:rPr>
          <w:rFonts w:hint="default" w:ascii="Times New Roman" w:hAnsi="Times New Roman" w:cs="Times New Roman"/>
          <w:b/>
          <w:bCs/>
          <w:sz w:val="24"/>
        </w:rPr>
        <w:t>说明：检测结果低于检出限，报检出限加L</w:t>
      </w:r>
      <w:r>
        <w:rPr>
          <w:rFonts w:hint="default" w:ascii="Times New Roman" w:hAnsi="Times New Roman" w:cs="Times New Roman"/>
          <w:b/>
          <w:bCs/>
          <w:sz w:val="24"/>
          <w:lang w:eastAsia="zh-CN"/>
        </w:rPr>
        <w:t>；</w:t>
      </w:r>
    </w:p>
    <w:p>
      <w:pPr>
        <w:pStyle w:val="2"/>
        <w:numPr>
          <w:ilvl w:val="0"/>
          <w:numId w:val="4"/>
        </w:numPr>
        <w:ind w:left="0" w:leftChars="0" w:firstLine="0" w:firstLineChars="0"/>
        <w:outlineLvl w:val="1"/>
        <w:rPr>
          <w:rFonts w:hint="eastAsia"/>
          <w:color w:val="000000" w:themeColor="text1"/>
          <w:lang w:val="en-US" w:eastAsia="zh-CN"/>
          <w14:textFill>
            <w14:solidFill>
              <w14:schemeClr w14:val="tx1"/>
            </w14:solidFill>
          </w14:textFill>
        </w:rPr>
      </w:pPr>
      <w:bookmarkStart w:id="53" w:name="_Toc8053"/>
      <w:r>
        <w:rPr>
          <w:rFonts w:hint="eastAsia"/>
          <w:color w:val="000000" w:themeColor="text1"/>
          <w:lang w:val="en-US" w:eastAsia="zh-CN"/>
          <w14:textFill>
            <w14:solidFill>
              <w14:schemeClr w14:val="tx1"/>
            </w14:solidFill>
          </w14:textFill>
        </w:rPr>
        <w:t>分析结果汇总</w:t>
      </w:r>
      <w:bookmarkEnd w:id="53"/>
    </w:p>
    <w:p>
      <w:pPr>
        <w:pStyle w:val="2"/>
        <w:numPr>
          <w:ilvl w:val="0"/>
          <w:numId w:val="0"/>
        </w:numPr>
        <w:ind w:leftChars="0"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监测期间：长春市报废汽车回收中心有限公司土壤监测项目中锌没有限值不评价外，其余监测项目的监测结果均符合《土壤环境质量建设用地土壤污染风险管控标准（试行）》（GB36600-2018）表1筛选值第二类用地标准限值的要求。</w:t>
      </w:r>
    </w:p>
    <w:p>
      <w:pPr>
        <w:pStyle w:val="2"/>
        <w:numPr>
          <w:ilvl w:val="0"/>
          <w:numId w:val="0"/>
        </w:numPr>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地下水监测项目的监测结果均符合《地下水质量标准》（GB14848-2018）三类水体标准限值及《生活饮用水卫生标准》（GN5749-2006）的相关要求。</w:t>
      </w:r>
    </w:p>
    <w:p>
      <w:pPr>
        <w:numPr>
          <w:ilvl w:val="0"/>
          <w:numId w:val="1"/>
        </w:numPr>
        <w:spacing w:line="360" w:lineRule="auto"/>
        <w:jc w:val="both"/>
        <w:outlineLvl w:val="0"/>
        <w:rPr>
          <w:rFonts w:hint="eastAsia" w:ascii="Times New Roman" w:hAnsi="Times New Roman" w:cs="Times New Roman"/>
          <w:b/>
          <w:bCs/>
          <w:sz w:val="28"/>
          <w:szCs w:val="28"/>
          <w:lang w:val="en-US" w:eastAsia="zh-CN"/>
        </w:rPr>
      </w:pPr>
      <w:bookmarkStart w:id="54" w:name="_Toc8849"/>
      <w:bookmarkStart w:id="55" w:name="_Toc30056"/>
      <w:r>
        <w:rPr>
          <w:rFonts w:hint="eastAsia" w:ascii="Times New Roman" w:hAnsi="Times New Roman" w:cs="Times New Roman"/>
          <w:b/>
          <w:bCs/>
          <w:sz w:val="28"/>
          <w:szCs w:val="28"/>
          <w:lang w:val="en-US" w:eastAsia="zh-CN"/>
        </w:rPr>
        <w:t>结论与建议</w:t>
      </w:r>
      <w:bookmarkEnd w:id="54"/>
    </w:p>
    <w:p>
      <w:pPr>
        <w:pStyle w:val="2"/>
        <w:numPr>
          <w:ilvl w:val="0"/>
          <w:numId w:val="0"/>
        </w:num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长春市报废汽车回收中心有限公司本次土壤环境自行监测工作共计布设6个监测点位，各监测点位中监测结果显示，各监测点位数据较好，均未超出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土壤环境质量建设用地土壤污染风险管控标准（试行）》（GB36600-2018）表1筛选值第二类用地标准限值的要求，地下水监测结果均符合《地下水质量标准》（GB14848-2018）三类水体标准限值及《生活饮用水卫生标准》（GN5749-2006）的相关要求，表明企业各单元生产用地土壤及地下水中污染物含量对人体健康的风险可以忽略。</w:t>
      </w:r>
    </w:p>
    <w:p>
      <w:pPr>
        <w:pStyle w:val="2"/>
        <w:numPr>
          <w:ilvl w:val="0"/>
          <w:numId w:val="0"/>
        </w:numPr>
        <w:spacing w:line="360" w:lineRule="auto"/>
        <w:ind w:firstLine="480" w:firstLineChars="200"/>
        <w:rPr>
          <w:rFonts w:hint="default" w:ascii="宋体" w:hAnsi="宋体" w:cs="宋体" w:eastAsiaTheme="minorEastAsia"/>
          <w:color w:val="000000" w:themeColor="text1"/>
          <w:kern w:val="2"/>
          <w:sz w:val="28"/>
          <w:szCs w:val="20"/>
          <w:lang w:val="en-US" w:eastAsia="zh-CN" w:bidi="ar-SA"/>
          <w14:textFill>
            <w14:solidFill>
              <w14:schemeClr w14:val="tx1"/>
            </w14:solidFill>
          </w14:textFill>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建议企业继续加强日常检查和维护工作，确保做到后续生产无污染的良好生产秩序，为保护土壤及地下水环境质量作出贡献</w:t>
      </w:r>
      <w:r>
        <w:rPr>
          <w:rFonts w:hint="eastAsia" w:ascii="Times New Roman" w:hAnsi="Times New Roman" w:cs="Times New Roman"/>
          <w:color w:val="000000" w:themeColor="text1"/>
          <w:sz w:val="24"/>
          <w:szCs w:val="24"/>
          <w:lang w:val="en-US" w:eastAsia="zh-CN"/>
          <w14:textFill>
            <w14:solidFill>
              <w14:schemeClr w14:val="tx1"/>
            </w14:solidFill>
          </w14:textFill>
        </w:rPr>
        <w:t>。</w:t>
      </w:r>
    </w:p>
    <w:bookmarkEnd w:id="55"/>
    <w:p>
      <w:pPr>
        <w:rPr>
          <w:sz w:val="24"/>
        </w:rPr>
      </w:pPr>
      <w:r>
        <w:rPr>
          <w:sz w:val="24"/>
        </w:rPr>
        <mc:AlternateContent>
          <mc:Choice Requires="wps">
            <w:drawing>
              <wp:anchor distT="0" distB="0" distL="114300" distR="114300" simplePos="0" relativeHeight="268530688" behindDoc="0" locked="0" layoutInCell="1" allowOverlap="1">
                <wp:simplePos x="0" y="0"/>
                <wp:positionH relativeFrom="column">
                  <wp:posOffset>6315710</wp:posOffset>
                </wp:positionH>
                <wp:positionV relativeFrom="paragraph">
                  <wp:posOffset>-208280</wp:posOffset>
                </wp:positionV>
                <wp:extent cx="1012825" cy="224790"/>
                <wp:effectExtent l="0" t="0" r="15875" b="3810"/>
                <wp:wrapNone/>
                <wp:docPr id="36" name="文本框 36"/>
                <wp:cNvGraphicFramePr/>
                <a:graphic xmlns:a="http://schemas.openxmlformats.org/drawingml/2006/main">
                  <a:graphicData uri="http://schemas.microsoft.com/office/word/2010/wordprocessingShape">
                    <wps:wsp>
                      <wps:cNvSpPr txBox="1"/>
                      <wps:spPr>
                        <a:xfrm>
                          <a:off x="7687945" y="718185"/>
                          <a:ext cx="1012825" cy="224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default" w:ascii="Times New Roman" w:hAnsi="Times New Roman" w:cs="Times New Roman"/>
                                <w:sz w:val="16"/>
                                <w:szCs w:val="20"/>
                                <w:lang w:val="en-US" w:eastAsia="zh-CN"/>
                              </w:rPr>
                              <w:t>1号监测点位</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7.3pt;margin-top:-16.4pt;height:17.7pt;width:79.75pt;z-index:268530688;mso-width-relative:page;mso-height-relative:page;" fillcolor="#FFFFFF [3201]" filled="t" stroked="f" coordsize="21600,21600" o:gfxdata="UEsDBAoAAAAAAIdO4kAAAAAAAAAAAAAAAAAEAAAAZHJzL1BLAwQUAAAACACHTuJAeRfVYdkAAAAK&#10;AQAADwAAAGRycy9kb3ducmV2LnhtbE2PMU/DMBCFdyT+g3VIbK2TkCY0zaUDEgtiaQoqoxu7SSA+&#10;R7abtP8ed4LxdJ/e+165veiBTcq63hBCvIyAKWqM7KlF+Ni/Lp6BOS9IisGQQrgqB9vq/q4UhTQz&#10;7dRU+5aFEHKFQOi8HwvOXdMpLdzSjIrC72SsFj6ctuXSijmE64EnUZRxLXoKDZ0Y1Uunmp/6rBHc&#10;NM+HVfr5Jd521+9Dluf5e20RHx/iaAPMq4v/g+GmH9ShCk5Hcybp2ICwXqdZQBEWT0nYcCPiVRoD&#10;OyIkGfCq5P8nVL9QSwMEFAAAAAgAh07iQEijpPNGAgAAWgQAAA4AAABkcnMvZTJvRG9jLnhtbK1U&#10;yY4TMRC9I/EPlu+kl8mudEYhoyCkiBkpIM6O25225A3bSXf4APiDOXHhznflOyi7k5mwnBA5OFWu&#10;51peVfXstpUCHZh1XKsCZ70UI6aoLrnaFfjD+9WrMUbOE1USoRUr8JE5fDt/+WLWmCnLda1FySwC&#10;J8pNG1Pg2nszTRJHayaJ62nDFBgrbSXxoNpdUlrSgHcpkjxNh0mjbWmspsw5uL3rjHge/VcVo/6+&#10;qhzzSBQYcvPxtPHchjOZz8h0Z4mpOT2nQf4hC0m4gqBPru6IJ2hv+R+uJKdWO135HtUy0VXFKYs1&#10;QDVZ+ls1m5oYFmsBcpx5osn9P7f03eHBIl4W+GaIkSISenR6/Hr69uP0/QuCOyCoMW4KuI0BpG9f&#10;6xYafbl3cBnqbisrwz9UhMA+Go5Hk/4AoyPI2TgbDzqmWesRDe/TLB/nYKcAyPP+aBJbkTw7Mtb5&#10;N0xLFIQCW+hkJJgc1s5DUgC9QEJcpwUvV1yIqNjddiksOhDo+ir+Qnh48gtMKNQUeHgzSKNnpcP7&#10;DicUwEPdXX1B8u22PZOx1eURuLC6Gydn6IpDlmvi/AOxMD8wabAT/h6OSmgIos8SRrW2n/92H/DQ&#10;VrBi1MA8Fth92hPLMBJvFTR8kvX7YYCj0h+MclDstWV7bVF7udRQfAbbZ2gUA96Li1hZLT/C6ixC&#10;VDARRSF2gf1FXPpuS2D1KFssImhvLN/V3QMYX0P8Wm0MDWEi7Wax90BibE+grOPpzCQMcGzBednC&#10;hlzrEfX8SZj/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kX1WHZAAAACgEAAA8AAAAAAAAAAQAg&#10;AAAAIgAAAGRycy9kb3ducmV2LnhtbFBLAQIUABQAAAAIAIdO4kBIo6TzRgIAAFoEAAAOAAAAAAAA&#10;AAEAIAAAACgBAABkcnMvZTJvRG9jLnhtbFBLBQYAAAAABgAGAFkBAADgBQAAAAA=&#10;">
                <v:fill on="t" focussize="0,0"/>
                <v:stroke on="f" weight="0.5pt"/>
                <v:imagedata o:title=""/>
                <o:lock v:ext="edit" aspectratio="f"/>
                <v:textbox style="mso-fit-shape-to-text:t;">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default" w:ascii="Times New Roman" w:hAnsi="Times New Roman" w:cs="Times New Roman"/>
                          <w:sz w:val="16"/>
                          <w:szCs w:val="20"/>
                          <w:lang w:val="en-US" w:eastAsia="zh-CN"/>
                        </w:rPr>
                        <w:t>1号监测点位</w:t>
                      </w:r>
                    </w:p>
                  </w:txbxContent>
                </v:textbox>
              </v:shape>
            </w:pict>
          </mc:Fallback>
        </mc:AlternateContent>
      </w:r>
      <w:r>
        <w:rPr>
          <w:sz w:val="24"/>
        </w:rPr>
        <mc:AlternateContent>
          <mc:Choice Requires="wps">
            <w:drawing>
              <wp:anchor distT="0" distB="0" distL="114300" distR="114300" simplePos="0" relativeHeight="256396288" behindDoc="0" locked="0" layoutInCell="1" allowOverlap="1">
                <wp:simplePos x="0" y="0"/>
                <wp:positionH relativeFrom="column">
                  <wp:posOffset>8107045</wp:posOffset>
                </wp:positionH>
                <wp:positionV relativeFrom="paragraph">
                  <wp:posOffset>121920</wp:posOffset>
                </wp:positionV>
                <wp:extent cx="200025" cy="209550"/>
                <wp:effectExtent l="6350" t="6350" r="22225" b="12700"/>
                <wp:wrapNone/>
                <wp:docPr id="18" name="椭圆 18"/>
                <wp:cNvGraphicFramePr/>
                <a:graphic xmlns:a="http://schemas.openxmlformats.org/drawingml/2006/main">
                  <a:graphicData uri="http://schemas.microsoft.com/office/word/2010/wordprocessingShape">
                    <wps:wsp>
                      <wps:cNvSpPr/>
                      <wps:spPr>
                        <a:xfrm>
                          <a:off x="0" y="0"/>
                          <a:ext cx="200025" cy="2095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8.35pt;margin-top:9.6pt;height:16.5pt;width:15.75pt;z-index:256396288;v-text-anchor:middle;mso-width-relative:page;mso-height-relative:page;" fillcolor="#ED7D31 [3205]" filled="t" stroked="t" coordsize="21600,21600" o:gfxdata="UEsDBAoAAAAAAIdO4kAAAAAAAAAAAAAAAAAEAAAAZHJzL1BLAwQUAAAACACHTuJA/cj2eNkAAAAL&#10;AQAADwAAAGRycy9kb3ducmV2LnhtbE2PwWrDMBBE74X+g9hCb41kl9qJYzmHQE6FkMSF9ihbW8vE&#10;koylJO7fd3NqbzPsMPO23Mx2YFecQu+dhGQhgKFrve5dJ+Gj3r0sgYWonFaDdyjhBwNsqseHUhXa&#10;39wRr6fYMSpxoVASTIxjwXloDVoVFn5ER7dvP1kVyU4d15O6UbkdeCpExq3qHS0YNeLWYHs+XSyN&#10;ZOZrv/9M6qbOj+PhsDK77fss5fNTItbAIs7xLwx3fEKHipgaf3E6sIF8mmc5ZUmtUmD3xKtYkmok&#10;vKUp8Krk/3+ofgFQSwMEFAAAAAgAh07iQGMh0K5pAgAAywQAAA4AAABkcnMvZTJvRG9jLnhtbK1U&#10;zW4TMRC+I/EOlu90k6WhbdRNFTUtQqpopII4O15v1pL/sJ1sygPwFBy58ljwHHz2btqUckJcvDOe&#10;8cx8M/Pt+cVOK7IVPkhrKjo+GlEiDLe1NOuKfvxw/eqUkhCZqZmyRlT0XgR6MXv54rxzU1Ha1qpa&#10;eIIgJkw7V9E2RjctisBboVk4sk4YGBvrNYtQ/bqoPesQXauiHI3eFJ31tfOWixBwu+iNdJbjN43g&#10;8bZpgohEVRS1xXz6fK7SWczO2XTtmWslH8pg/1CFZtIg6UOoBYuMbLx8FkpL7m2wTTziVhe2aSQX&#10;GQPQjEd/oLlrmRMZC5oT3EObwv8Ly99vl57IGrPDpAzTmNGv7z9+fvtKcIHudC5M4XTnln7QAsQE&#10;ddd4nb4AQXa5o/cPHRW7SDguMaJROaGEw1SOziaT3PHi8bHzIb4VVpMkVFQoJV1ImNmUbW9CRE54&#10;773SdbBK1tdSqaz49epSebJlmO/V4mTxepyKxpMnbsqQDgjLkxF2gDPsWaNYhKgdkAezpoSpNRaY&#10;R59zP3kdDpPMrybzctw7tawWfeoJcO6hDe7Pq0goFiy0/ZOcot8/LSNIoKSu6GkKtI+kDIKkAfQt&#10;T9LK1vcYmLf9JgfHryXC3rAQl8xjdQEQdIy3OBplgdoOEiWt9V/+dp/8sVGwUtKBCujI5w3zghL1&#10;zmDXzsbHx4k7WTmenJRQ/KFldWgxG31pMY0xiO94FpN/VHux8VZ/AmvnKStMzHDk7ns/KJexpyh4&#10;z8V8nt3AF8fijblzPAVP0zd2vom2kXlLHrszNA2MyTMY2J0oeahnr8d/0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j2eNkAAAALAQAADwAAAAAAAAABACAAAAAiAAAAZHJzL2Rvd25yZXYueG1s&#10;UEsBAhQAFAAAAAgAh07iQGMh0K5pAgAAywQAAA4AAAAAAAAAAQAgAAAAKAEAAGRycy9lMm9Eb2Mu&#10;eG1sUEsFBgAAAAAGAAYAWQEAAAMGAAAAAA==&#10;">
                <v:fill on="t" focussize="0,0"/>
                <v:stroke weight="1pt" color="#AE5A21 [3205]" miterlimit="8" joinstyle="miter"/>
                <v:imagedata o:title=""/>
                <o:lock v:ext="edit" aspectratio="f"/>
              </v:shape>
            </w:pict>
          </mc:Fallback>
        </mc:AlternateContent>
      </w:r>
      <w:r>
        <w:rPr>
          <w:sz w:val="24"/>
        </w:rPr>
        <mc:AlternateContent>
          <mc:Choice Requires="wps">
            <w:drawing>
              <wp:anchor distT="0" distB="0" distL="114300" distR="114300" simplePos="0" relativeHeight="252186624" behindDoc="0" locked="0" layoutInCell="1" allowOverlap="1">
                <wp:simplePos x="0" y="0"/>
                <wp:positionH relativeFrom="column">
                  <wp:posOffset>7360920</wp:posOffset>
                </wp:positionH>
                <wp:positionV relativeFrom="paragraph">
                  <wp:posOffset>-102235</wp:posOffset>
                </wp:positionV>
                <wp:extent cx="200025" cy="209550"/>
                <wp:effectExtent l="6350" t="6350" r="22225" b="12700"/>
                <wp:wrapNone/>
                <wp:docPr id="14" name="椭圆 14"/>
                <wp:cNvGraphicFramePr/>
                <a:graphic xmlns:a="http://schemas.openxmlformats.org/drawingml/2006/main">
                  <a:graphicData uri="http://schemas.microsoft.com/office/word/2010/wordprocessingShape">
                    <wps:wsp>
                      <wps:cNvSpPr/>
                      <wps:spPr>
                        <a:xfrm>
                          <a:off x="674370" y="2040890"/>
                          <a:ext cx="200025" cy="2095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9.6pt;margin-top:-8.05pt;height:16.5pt;width:15.75pt;z-index:252186624;v-text-anchor:middle;mso-width-relative:page;mso-height-relative:page;" fillcolor="#ED7D31 [3205]" filled="t" stroked="t" coordsize="21600,21600" o:gfxdata="UEsDBAoAAAAAAIdO4kAAAAAAAAAAAAAAAAAEAAAAZHJzL1BLAwQUAAAACACHTuJA4ExTANkAAAAM&#10;AQAADwAAAGRycy9kb3ducmV2LnhtbE2PPWvDMBCG90L/g7hCt0RSoE7tWs4QyFQISRxoR9lSLVPr&#10;ZCwlcf99L1O73cs9vB/lZvYDu9op9gEVyKUAZrENpsdOwbneLV6BxaTR6CGgVfBjI2yqx4dSFybc&#10;8Givp9QxMsFYaAUupbHgPLbOeh2XYbRIv68weZ1ITh03k76RuR/4SoiMe90jJTg92q2z7ffp4ikk&#10;c5/7/Yesm3p9HA+H3O2277NSz09SvAFLdk5/MNzrU3WoqFMTLmgiG0jLl3xFrIKFzCSwOyJzsQbW&#10;0JXlwKuS/x9R/QJQSwMEFAAAAAgAh07iQDChFOx0AgAA1gQAAA4AAABkcnMvZTJvRG9jLnhtbK1U&#10;zW4TMRC+I/EOlu90N9ukaaNuqqhpEVJFKxXEeeK1s5b8h+1kUx6Ap+DIlceC52Ds3bQp5YS4eGc8&#10;s9/MNz8+v9hpRbbcB2lNTUdHJSXcMNtIs67pxw/Xb04pCRFMA8oaXtMHHujF/PWr887NeGVbqxru&#10;CYKYMOtcTdsY3awoAmu5hnBkHTdoFNZriKj6ddF46BBdq6Iqy5Ois75x3jIeAt4ueyOdZ3whOIu3&#10;QgQeiaop5hbz6fO5SmcxP4fZ2oNrJRvSgH/IQoM0GPQRagkRyMbLF1BaMm+DFfGIWV1YISTjmQOy&#10;GZV/sLlvwfHMBYsT3GOZwv+DZe+3d57IBns3psSAxh79+v7j57evBC+wOp0LM3S6d3d+0AKKiepO&#10;eJ2+SILsanoyHR9PscQPNa3KcXl6NhSX7yJhaMduldWEEpYdziaTbC+ecJwP8S23miShplwp6UKi&#10;DzPY3oSI4dF775Wug1WyuZZKZcWvV5fKky1gq6+W0+XxKOWPvzxzU4Z0SLaalpgrAxw5oSCiqB0W&#10;IZg1JaDWOMss+hz72d/hMMjiarKoRr1TCw3vQ0+Q557a4P4yi8RiCaHtf8kh+lHUMuI+KKlrepqA&#10;9kjKIEjqRV/9JK1s84C987Yf6uDYtUTYGwjxDjxOMRLEzYy3eAhlkbUdJEpa67/87T7543ChlZIO&#10;twIr8nkDnlOi3hkcu7PReJzWKCvjybRCxR9aVocWs9GXFrsxwjfAsSwm/6j2ovBWf8IFXqSoaALD&#10;MHZf+0G5jP224hPA+GKR3XB1HMQbc+9YAk/dN3axiVbIPCVP1RmKhsuTezAsetrOQz17PT1H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gTFMA2QAAAAwBAAAPAAAAAAAAAAEAIAAAACIAAABkcnMv&#10;ZG93bnJldi54bWxQSwECFAAUAAAACACHTuJAMKEU7HQCAADWBAAADgAAAAAAAAABACAAAAAoAQAA&#10;ZHJzL2Uyb0RvYy54bWxQSwUGAAAAAAYABgBZAQAADgYAAAAA&#10;">
                <v:fill on="t" focussize="0,0"/>
                <v:stroke weight="1pt" color="#AE5A21 [3205]" miterlimit="8" joinstyle="miter"/>
                <v:imagedata o:title=""/>
                <o:lock v:ext="edit" aspectratio="f"/>
              </v:shape>
            </w:pict>
          </mc:Fallback>
        </mc:AlternateContent>
      </w:r>
      <w:r>
        <w:rPr>
          <w:rFonts w:hint="eastAsia"/>
          <w:lang w:val="en-US" w:eastAsia="zh-CN"/>
        </w:rPr>
        <w:drawing>
          <wp:anchor distT="0" distB="0" distL="114300" distR="114300" simplePos="0" relativeHeight="255866880" behindDoc="0" locked="0" layoutInCell="1" allowOverlap="1">
            <wp:simplePos x="0" y="0"/>
            <wp:positionH relativeFrom="column">
              <wp:posOffset>8227695</wp:posOffset>
            </wp:positionH>
            <wp:positionV relativeFrom="paragraph">
              <wp:posOffset>-774065</wp:posOffset>
            </wp:positionV>
            <wp:extent cx="581025" cy="733425"/>
            <wp:effectExtent l="0" t="0" r="9525" b="9525"/>
            <wp:wrapNone/>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18"/>
                    <a:stretch>
                      <a:fillRect/>
                    </a:stretch>
                  </pic:blipFill>
                  <pic:spPr>
                    <a:xfrm>
                      <a:off x="0" y="0"/>
                      <a:ext cx="581025" cy="733425"/>
                    </a:xfrm>
                    <a:prstGeom prst="rect">
                      <a:avLst/>
                    </a:prstGeom>
                  </pic:spPr>
                </pic:pic>
              </a:graphicData>
            </a:graphic>
          </wp:anchor>
        </w:drawing>
      </w:r>
      <w:r>
        <w:rPr>
          <w:sz w:val="24"/>
        </w:rPr>
        <mc:AlternateContent>
          <mc:Choice Requires="wps">
            <w:drawing>
              <wp:anchor distT="0" distB="0" distL="114300" distR="114300" simplePos="0" relativeHeight="251833344" behindDoc="0" locked="0" layoutInCell="1" allowOverlap="1">
                <wp:simplePos x="0" y="0"/>
                <wp:positionH relativeFrom="column">
                  <wp:posOffset>4951095</wp:posOffset>
                </wp:positionH>
                <wp:positionV relativeFrom="paragraph">
                  <wp:posOffset>3879215</wp:posOffset>
                </wp:positionV>
                <wp:extent cx="466725" cy="752475"/>
                <wp:effectExtent l="4445" t="4445" r="5080" b="5080"/>
                <wp:wrapNone/>
                <wp:docPr id="11" name="文本框 11"/>
                <wp:cNvGraphicFramePr/>
                <a:graphic xmlns:a="http://schemas.openxmlformats.org/drawingml/2006/main">
                  <a:graphicData uri="http://schemas.microsoft.com/office/word/2010/wordprocessingShape">
                    <wps:wsp>
                      <wps:cNvSpPr txBox="1"/>
                      <wps:spPr>
                        <a:xfrm>
                          <a:off x="0" y="0"/>
                          <a:ext cx="466725" cy="752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eastAsia="zh-CN"/>
                              </w:rPr>
                            </w:pPr>
                            <w:r>
                              <w:rPr>
                                <w:rFonts w:hint="eastAsia"/>
                                <w:sz w:val="24"/>
                                <w:szCs w:val="32"/>
                                <w:lang w:eastAsia="zh-CN"/>
                              </w:rPr>
                              <w:t>电</w:t>
                            </w:r>
                          </w:p>
                          <w:p>
                            <w:pPr>
                              <w:jc w:val="center"/>
                              <w:rPr>
                                <w:rFonts w:hint="eastAsia"/>
                                <w:sz w:val="24"/>
                                <w:szCs w:val="32"/>
                                <w:lang w:eastAsia="zh-CN"/>
                              </w:rPr>
                            </w:pPr>
                            <w:r>
                              <w:rPr>
                                <w:rFonts w:hint="eastAsia"/>
                                <w:sz w:val="24"/>
                                <w:szCs w:val="32"/>
                                <w:lang w:eastAsia="zh-CN"/>
                              </w:rPr>
                              <w:t>子</w:t>
                            </w:r>
                          </w:p>
                          <w:p>
                            <w:pPr>
                              <w:jc w:val="center"/>
                              <w:rPr>
                                <w:rFonts w:hint="eastAsia" w:eastAsiaTheme="minorEastAsia"/>
                                <w:sz w:val="24"/>
                                <w:szCs w:val="32"/>
                                <w:lang w:eastAsia="zh-CN"/>
                              </w:rPr>
                            </w:pPr>
                            <w:r>
                              <w:rPr>
                                <w:rFonts w:hint="eastAsia"/>
                                <w:sz w:val="24"/>
                                <w:szCs w:val="32"/>
                                <w:lang w:eastAsia="zh-CN"/>
                              </w:rPr>
                              <w:t>秤</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89.85pt;margin-top:305.45pt;height:59.25pt;width:36.75pt;z-index:251833344;mso-width-relative:page;mso-height-relative:page;" fillcolor="#FFFFFF [3201]" filled="t" stroked="t" coordsize="21600,21600" o:gfxdata="UEsDBAoAAAAAAIdO4kAAAAAAAAAAAAAAAAAEAAAAZHJzL1BLAwQUAAAACACHTuJAbt+JIdgAAAAL&#10;AQAADwAAAGRycy9kb3ducmV2LnhtbE2Py07DMBBF90j8gzVI7KidBJImxKkEEhJiR8mGnRtPkwg/&#10;Itttyt8zrGA5ukf3nml3F2vYGUOcvZOQbQQwdIPXsxsl9B8vd1tgMSmnlfEOJXxjhF13fdWqRvvV&#10;veN5n0ZGJS42SsKU0tJwHocJrYobv6Cj7OiDVYnOMHId1Erl1vBciJJbNTtamNSCzxMOX/uTlfBa&#10;PqVP7PWbLvLCrz0fwtFEKW9vMvEILOEl/cHwq0/q0JHTwZ+cjsxIqKq6IlRCmYkaGBHbhyIHdqAo&#10;r++Bdy3//0P3A1BLAwQUAAAACACHTuJASwKE9kQCAAB2BAAADgAAAGRycy9lMm9Eb2MueG1srVTN&#10;jtMwEL4j8Q6W7zRt6Q9UTVelqyKkFbtSQZwdx2ksHI+x3SblAdg34MSFO8/V52DspN0uywmRgzOe&#10;mXwz881M5ldNpcheWCdBp3TQ61MiNIdc6m1KP35Yv3hFifNM50yBFik9CEevFs+fzWszE0MoQeXC&#10;EgTRblablJbem1mSOF6KirkeGKHRWICtmMer3Sa5ZTWiVyoZ9vuTpAabGwtcOIfa69ZIFxG/KAT3&#10;t0XhhCcqpZibj6eNZxbOZDFns61lppS8S4P9QxYVkxqDnqGumWdkZ+UTqEpyCw4K3+NQJVAUkotY&#10;A1Yz6P9RzaZkRsRakBxnzjS5/wfL3+/vLJE59m5AiWYV9uj4/f7449fx5zeCOiSoNm6GfhuDnr55&#10;Aw06n/QOlaHuprBVeGNFBO1I9eFMr2g84agcTSbT4ZgSjqbpeDiajgNK8vCxsc6/FVCRIKTUYvci&#10;qWx/43zrenIJsRwoma+lUvFit9lKWbJn2Ol1fDr0R25Kkzqlk5fjfkR+ZAvYZ4hMMf75KQJmqzQm&#10;HThpaw+Sb7KmIyqD/IA8WWhHzRm+loh7w5y/YxZnC6nBffG3eBQKMBnoJEpKsF//pg/+2HK0UlLj&#10;rKbUfdkxKyhR7zQOw+vBaBSGO15G4+kQL/bSkl1a9K5aAZKE/cbsohj8vTqJhYXqE67VMkRFE9Mc&#10;Y6fUn8SVbzcI15KL5TI67YyV27L9AEfbMH+jN4aHMKE9GpY7D4WMbQyUtTx1TOJwx0HoFjFsz+U9&#10;ej38L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7fiSHYAAAACwEAAA8AAAAAAAAAAQAgAAAA&#10;IgAAAGRycy9kb3ducmV2LnhtbFBLAQIUABQAAAAIAIdO4kBLAoT2RAIAAHYEAAAOAAAAAAAAAAEA&#10;IAAAACcBAABkcnMvZTJvRG9jLnhtbFBLBQYAAAAABgAGAFkBAADdBQAAAAA=&#10;">
                <v:fill on="t" focussize="0,0"/>
                <v:stroke weight="0.5pt" color="#000000 [3204]" joinstyle="round"/>
                <v:imagedata o:title=""/>
                <o:lock v:ext="edit" aspectratio="f"/>
                <v:textbox>
                  <w:txbxContent>
                    <w:p>
                      <w:pPr>
                        <w:jc w:val="center"/>
                        <w:rPr>
                          <w:rFonts w:hint="eastAsia"/>
                          <w:sz w:val="24"/>
                          <w:szCs w:val="32"/>
                          <w:lang w:eastAsia="zh-CN"/>
                        </w:rPr>
                      </w:pPr>
                      <w:r>
                        <w:rPr>
                          <w:rFonts w:hint="eastAsia"/>
                          <w:sz w:val="24"/>
                          <w:szCs w:val="32"/>
                          <w:lang w:eastAsia="zh-CN"/>
                        </w:rPr>
                        <w:t>电</w:t>
                      </w:r>
                    </w:p>
                    <w:p>
                      <w:pPr>
                        <w:jc w:val="center"/>
                        <w:rPr>
                          <w:rFonts w:hint="eastAsia"/>
                          <w:sz w:val="24"/>
                          <w:szCs w:val="32"/>
                          <w:lang w:eastAsia="zh-CN"/>
                        </w:rPr>
                      </w:pPr>
                      <w:r>
                        <w:rPr>
                          <w:rFonts w:hint="eastAsia"/>
                          <w:sz w:val="24"/>
                          <w:szCs w:val="32"/>
                          <w:lang w:eastAsia="zh-CN"/>
                        </w:rPr>
                        <w:t>子</w:t>
                      </w:r>
                    </w:p>
                    <w:p>
                      <w:pPr>
                        <w:jc w:val="center"/>
                        <w:rPr>
                          <w:rFonts w:hint="eastAsia" w:eastAsiaTheme="minorEastAsia"/>
                          <w:sz w:val="24"/>
                          <w:szCs w:val="32"/>
                          <w:lang w:eastAsia="zh-CN"/>
                        </w:rPr>
                      </w:pPr>
                      <w:r>
                        <w:rPr>
                          <w:rFonts w:hint="eastAsia"/>
                          <w:sz w:val="24"/>
                          <w:szCs w:val="32"/>
                          <w:lang w:eastAsia="zh-CN"/>
                        </w:rPr>
                        <w:t>秤</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2455545</wp:posOffset>
                </wp:positionH>
                <wp:positionV relativeFrom="paragraph">
                  <wp:posOffset>1116965</wp:posOffset>
                </wp:positionV>
                <wp:extent cx="4781550" cy="676910"/>
                <wp:effectExtent l="4445" t="4445" r="14605" b="23495"/>
                <wp:wrapNone/>
                <wp:docPr id="6" name="文本框 6"/>
                <wp:cNvGraphicFramePr/>
                <a:graphic xmlns:a="http://schemas.openxmlformats.org/drawingml/2006/main">
                  <a:graphicData uri="http://schemas.microsoft.com/office/word/2010/wordprocessingShape">
                    <wps:wsp>
                      <wps:cNvSpPr txBox="1"/>
                      <wps:spPr>
                        <a:xfrm>
                          <a:off x="0" y="0"/>
                          <a:ext cx="4781550"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eastAsia="zh-CN"/>
                              </w:rPr>
                            </w:pPr>
                          </w:p>
                          <w:p>
                            <w:pPr>
                              <w:jc w:val="center"/>
                              <w:rPr>
                                <w:rFonts w:hint="eastAsia"/>
                                <w:sz w:val="24"/>
                                <w:szCs w:val="32"/>
                                <w:lang w:eastAsia="zh-CN"/>
                              </w:rPr>
                            </w:pPr>
                            <w:r>
                              <w:rPr>
                                <w:rFonts w:hint="eastAsia"/>
                                <w:sz w:val="24"/>
                                <w:szCs w:val="32"/>
                                <w:lang w:eastAsia="zh-CN"/>
                              </w:rPr>
                              <w:t>拆解车间（暂停作业）</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3.35pt;margin-top:87.95pt;height:53.3pt;width:376.5pt;z-index:251675648;mso-width-relative:page;mso-height-relative:page;" fillcolor="#FFFFFF [3201]" filled="t" stroked="t" coordsize="21600,21600" o:gfxdata="UEsDBAoAAAAAAIdO4kAAAAAAAAAAAAAAAAAEAAAAZHJzL1BLAwQUAAAACACHTuJAKKwU7dgAAAAM&#10;AQAADwAAAGRycy9kb3ducmV2LnhtbE2PTU/DMAyG70j8h8hI3Fj6oXVdaToJJCTEja0XblnjtRWJ&#10;UzXZOv493gmO9vvo9eN6d3VWXHAOoycF6SoBgdR5M1KvoD28PZUgQtRktPWECn4wwK65v6t1ZfxC&#10;n3jZx15wCYVKKxhinCopQzeg02HlJyTOTn52OvI499LMeuFyZ2WWJIV0eiS+MOgJXwfsvvdnp+C9&#10;eIlf2JoPk2e5X1rZzScblHp8SJNnEBGv8Q+Gmz6rQ8NOR38mE4RVkJfFhlEONustiBuR5lteHRVk&#10;ZbYG2dTy/xPNL1BLAwQUAAAACACHTuJATg8jSEQCAAB1BAAADgAAAGRycy9lMm9Eb2MueG1srVTN&#10;bhMxEL4j8Q6W73STkqZt1E0VWgUhVbRSQZwdrzdr4fUY28lueQB4A05cuPNcfQ4+Oz8tlBMiB2fG&#10;M/5m5puZPTvvW8PWygdNtuTDgwFnykqqtF2W/P27+YsTzkIUthKGrCr5nQr8fPr82VnnJuqQGjKV&#10;8gwgNkw6V/ImRjcpiiAb1YpwQE5ZGGvyrYhQ/bKovOiA3pricDAYFx35ynmSKgTcXm6MfJrx61rJ&#10;eF3XQUVmSo7cYj59PhfpLKZnYrL0wjVabtMQ/5BFK7RF0D3UpYiCrbx+AtVq6SlQHQ8ktQXVtZYq&#10;14BqhoM/qrlthFO5FpAT3J6m8P9g5dv1jWe6KvmYMytatOj+29f77z/vf3xh40RP58IEXrcOfrF/&#10;RT3avLsPuExV97Vv0z/qYbCD6Ls9uaqPTOJydHwyPDqCScI2Ph6fDjP7xcNr50N8rahlSSi5R/My&#10;p2J9FSIygevOJQULZHQ118ZkxS8XF8aztUCj5/mXksST39yMZR2iv0QeTyAS9h5iYYT8+BQBeMYC&#10;NpGyKT5JsV/0W6YWVN2BKE+bSQtOzjVwr0SIN8JjtEAA1iVe46gNIRnaSpw15D//7T75o+OwctZh&#10;VEsePq2EV5yZNxazcDocjdJsZ2V0dHwIxT+2LB5b7Kq9IJA0xGI6mcXkH81OrD21H7BVsxQVJmEl&#10;Ypc87sSLuFkgbKVUs1l2Wjmvl83mASbbiXhlb51MYRLRlmarSLXObUyUbXjaMonZzq3a7mFansd6&#10;9nr4Wk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isFO3YAAAADAEAAA8AAAAAAAAAAQAgAAAA&#10;IgAAAGRycy9kb3ducmV2LnhtbFBLAQIUABQAAAAIAIdO4kBODyNIRAIAAHUEAAAOAAAAAAAAAAEA&#10;IAAAACcBAABkcnMvZTJvRG9jLnhtbFBLBQYAAAAABgAGAFkBAADdBQAAAAA=&#10;">
                <v:fill on="t" focussize="0,0"/>
                <v:stroke weight="0.5pt" color="#000000 [3204]" joinstyle="round"/>
                <v:imagedata o:title=""/>
                <o:lock v:ext="edit" aspectratio="f"/>
                <v:textbox>
                  <w:txbxContent>
                    <w:p>
                      <w:pPr>
                        <w:jc w:val="center"/>
                        <w:rPr>
                          <w:rFonts w:hint="eastAsia"/>
                          <w:sz w:val="24"/>
                          <w:szCs w:val="32"/>
                          <w:lang w:eastAsia="zh-CN"/>
                        </w:rPr>
                      </w:pPr>
                    </w:p>
                    <w:p>
                      <w:pPr>
                        <w:jc w:val="center"/>
                        <w:rPr>
                          <w:rFonts w:hint="eastAsia"/>
                          <w:sz w:val="24"/>
                          <w:szCs w:val="32"/>
                          <w:lang w:eastAsia="zh-CN"/>
                        </w:rPr>
                      </w:pPr>
                      <w:r>
                        <w:rPr>
                          <w:rFonts w:hint="eastAsia"/>
                          <w:sz w:val="24"/>
                          <w:szCs w:val="32"/>
                          <w:lang w:eastAsia="zh-CN"/>
                        </w:rPr>
                        <w:t>拆解车间（暂停作业）</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4760595</wp:posOffset>
                </wp:positionH>
                <wp:positionV relativeFrom="paragraph">
                  <wp:posOffset>364490</wp:posOffset>
                </wp:positionV>
                <wp:extent cx="1504950" cy="419735"/>
                <wp:effectExtent l="4445" t="4445" r="14605" b="13970"/>
                <wp:wrapNone/>
                <wp:docPr id="3" name="文本框 3"/>
                <wp:cNvGraphicFramePr/>
                <a:graphic xmlns:a="http://schemas.openxmlformats.org/drawingml/2006/main">
                  <a:graphicData uri="http://schemas.microsoft.com/office/word/2010/wordprocessingShape">
                    <wps:wsp>
                      <wps:cNvSpPr txBox="1"/>
                      <wps:spPr>
                        <a:xfrm>
                          <a:off x="0" y="0"/>
                          <a:ext cx="150495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仓库</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4.85pt;margin-top:28.7pt;height:33.05pt;width:118.5pt;z-index:251661312;mso-width-relative:page;mso-height-relative:page;" fillcolor="#FFFFFF [3201]" filled="t" stroked="t" coordsize="21600,21600" o:gfxdata="UEsDBAoAAAAAAIdO4kAAAAAAAAAAAAAAAAAEAAAAZHJzL1BLAwQUAAAACACHTuJAUWO8b9cAAAAK&#10;AQAADwAAAGRycy9kb3ducmV2LnhtbE2PwU7DMAyG70i8Q2Qkbixdu7Vb13QSSEiIG6MXblnjtdUS&#10;p2qydbw95gRH259+f3+1vzkrrjiFwZOC5SIBgdR6M1CnoPl8fdqACFGT0dYTKvjGAPv6/q7SpfEz&#10;feD1EDvBIRRKraCPcSylDG2PToeFH5H4dvKT05HHqZNm0jOHOyvTJMml0wPxh16P+NJjez5cnIK3&#10;/Dl+YWPeTZZmfm5kO51sUOrxYZnsQES8xT8YfvVZHWp2OvoLmSCsgmK1LRhVsC5WIBjYbnJeHJlM&#10;szXIupL/K9Q/UEsDBBQAAAAIAIdO4kA7piumQQIAAHUEAAAOAAAAZHJzL2Uyb0RvYy54bWytVM2O&#10;EzEMviPxDlHudPq7S6tOV6WrIqSKXakgzmkm04nIxCFJO1MeAN6AExfuPFefAycz7RbKCdFDasfO&#10;Z/uzPdO7ulRkL6yToFPa63QpEZpDJvU2pe/fLV+8pMR5pjOmQIuUHoSjd7Pnz6aVmYg+FKAyYQmC&#10;aDepTEoL780kSRwvRMlcB4zQaMzBlsyjardJZlmF6KVK+t3uTVKBzYwFLpzD2/vGSGcRP88F9w95&#10;7oQnKqWYm4+njecmnMlsyiZby0wheZsG+4csSiY1Bj1D3TPPyM7KK6hScgsOct/hUCaQ55KLWANW&#10;0+v+Uc26YEbEWpAcZ840uf8Hy9/uHy2RWUoHlGhWYouO374ev/88/vhCBoGeyrgJeq0N+vn6FdTY&#10;5tO9w8tQdZ3bMvxjPQTtSPThTK6oPeHh0ag7HI/QxNE27I1vB6MAkzy9Ntb51wJKEoSUWmxe5JTt&#10;V843rieXEMyBktlSKhUVu90slCV7ho1exl+L/pub0qRK6c0A87iCCNhniI1i/OM1AmarNCYdSGmK&#10;D5KvN3XL1AayAxJloZk0Z/hSIu6KOf/ILI4WEoDr4h/wyBVgMtBKlBRgP//tPvhjx9FKSYWjmlL3&#10;acesoES90TgL495wGGY7KsPRbR8Ve2nZXFr0rlwAktTDxTQ8isHfq5OYWyg/4FbNQ1Q0Mc0xdkr9&#10;SVz4ZoFwK7mYz6PTzli5LZoHONmG+ZVeGx7CBKI1zHcechnbGChreGqZxNmOg9DuYVieSz16PX0t&#10;Z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WO8b9cAAAAKAQAADwAAAAAAAAABACAAAAAiAAAA&#10;ZHJzL2Rvd25yZXYueG1sUEsBAhQAFAAAAAgAh07iQDumK6ZBAgAAdQQAAA4AAAAAAAAAAQAgAAAA&#10;JgEAAGRycy9lMm9Eb2MueG1sUEsFBgAAAAAGAAYAWQEAANkFAAAAAA==&#10;">
                <v:fill on="t" focussize="0,0"/>
                <v:stroke weight="0.5pt" color="#000000 [3204]" joinstyle="round"/>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仓库</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1303020</wp:posOffset>
                </wp:positionH>
                <wp:positionV relativeFrom="paragraph">
                  <wp:posOffset>345440</wp:posOffset>
                </wp:positionV>
                <wp:extent cx="1353185" cy="448945"/>
                <wp:effectExtent l="4445" t="4445" r="13970" b="22860"/>
                <wp:wrapNone/>
                <wp:docPr id="2" name="文本框 2"/>
                <wp:cNvGraphicFramePr/>
                <a:graphic xmlns:a="http://schemas.openxmlformats.org/drawingml/2006/main">
                  <a:graphicData uri="http://schemas.microsoft.com/office/word/2010/wordprocessingShape">
                    <wps:wsp>
                      <wps:cNvSpPr txBox="1"/>
                      <wps:spPr>
                        <a:xfrm>
                          <a:off x="2236470" y="1755140"/>
                          <a:ext cx="135318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危废间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02.6pt;margin-top:27.2pt;height:35.35pt;width:106.55pt;z-index:251659264;mso-width-relative:page;mso-height-relative:page;" fillcolor="#FFFFFF [3201]" filled="t" stroked="t" coordsize="21600,21600" o:gfxdata="UEsDBAoAAAAAAIdO4kAAAAAAAAAAAAAAAAAEAAAAZHJzL1BLAwQUAAAACACHTuJAi61jqdcAAAAK&#10;AQAADwAAAGRycy9kb3ducmV2LnhtbE2Py07DMBBF90j8gzVI7KgdJ6mqEKcSSEiIHSUbdm48TSL8&#10;iGy3KX/PsILl6B7de6bdX51lF4xpDl5BsRHA0A/BzH5U0H+8POyApay90TZ4VPCNCfbd7U2rGxNW&#10;/46XQx4ZlfjUaAVTzkvDeRomdDptwoKeslOITmc648hN1CuVO8ulEFvu9OxpYdILPk84fB3OTsHr&#10;9il/Ym/eTCnLsPZ8iCeblLq/K8QjsIzX/AfDrz6pQ0dOx3D2JjGrQIpaEqqgripgBFTFrgR2JFLW&#10;BfCu5f9f6H4AUEsDBBQAAAAIAIdO4kARtFHiUAIAAIEEAAAOAAAAZHJzL2Uyb0RvYy54bWytVM2O&#10;0zAQviPxDpbvbNo02Z+q6arsqghpxa60IM6u4zQWjsfYbpPlAeANOHHhznP1ORg7abfLckL04I49&#10;X7+Z+Wams8uuUWQrrJOgCzo+GVEiNIdS6nVBP7xfvjqnxHmmS6ZAi4I+CEcv5y9fzFozFSnUoEph&#10;CZJoN21NQWvvzTRJHK9Fw9wJGKHRWYFtmMerXSelZS2yNypJR6PTpAVbGgtcOIev172TziN/VQnu&#10;b6vKCU9UQTE3H08bz1U4k/mMTdeWmVryIQ32D1k0TGoMeqC6Zp6RjZXPqBrJLTio/AmHJoGqklzE&#10;GrCa8eiPau5rZkSsBcVx5iCT+3+0/N32zhJZFjSlRLMGW7T7/m3349fu51eSBnla46aIujeI891r&#10;6LDN+3eHj6HqrrJN+MZ6CPrTdHKanaHcD4g9y/NxNggtOk94IJjkk/F5TglHRJadX2R5oEwemYx1&#10;/o2AhgSjoBYbGfVl2xvne+geEgI7ULJcSqXixa5XV8qSLcOmL+NnYH8CU5q0BT2d5KPI/MQXuA8U&#10;K8X4p+cMmK3SmHQQqBciWL5bdYNqKygfUDQL/dQ5w5cSeW+Y83fM4pihQrg6/haPSgEmA4NFSQ32&#10;y9/eAx67j15KWhzbgrrPG2YFJeqtxrm4GGcoNvHxkuVnKV7ssWd17NGb5gpQpDEuqeHRDHiv9mZl&#10;ofmIG7YIUdHFNMfYBfV788r3y4QbysViEUEbY+W67n+AU26Yv9H3hocwoT0aFhsPlYxtDJL1Og1K&#10;4pzHQRh2MizS8T2iHv85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61jqdcAAAAKAQAADwAA&#10;AAAAAAABACAAAAAiAAAAZHJzL2Rvd25yZXYueG1sUEsBAhQAFAAAAAgAh07iQBG0UeJQAgAAgQQA&#10;AA4AAAAAAAAAAQAgAAAAJgEAAGRycy9lMm9Eb2MueG1sUEsFBgAAAAAGAAYAWQEAAOgFAAAAAA==&#10;">
                <v:fill on="t" focussize="0,0"/>
                <v:stroke weight="0.5pt" color="#000000 [3204]" joinstyle="round"/>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危废间</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626745</wp:posOffset>
                </wp:positionH>
                <wp:positionV relativeFrom="paragraph">
                  <wp:posOffset>1421765</wp:posOffset>
                </wp:positionV>
                <wp:extent cx="609600" cy="610235"/>
                <wp:effectExtent l="4445" t="4445" r="14605" b="13970"/>
                <wp:wrapNone/>
                <wp:docPr id="5" name="文本框 5"/>
                <wp:cNvGraphicFramePr/>
                <a:graphic xmlns:a="http://schemas.openxmlformats.org/drawingml/2006/main">
                  <a:graphicData uri="http://schemas.microsoft.com/office/word/2010/wordprocessingShape">
                    <wps:wsp>
                      <wps:cNvSpPr txBox="1"/>
                      <wps:spPr>
                        <a:xfrm>
                          <a:off x="0" y="0"/>
                          <a:ext cx="609600" cy="610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eastAsia="zh-CN"/>
                              </w:rPr>
                            </w:pPr>
                          </w:p>
                          <w:p>
                            <w:pPr>
                              <w:jc w:val="center"/>
                              <w:rPr>
                                <w:rFonts w:hint="eastAsia" w:eastAsiaTheme="minorEastAsia"/>
                                <w:sz w:val="24"/>
                                <w:szCs w:val="24"/>
                                <w:lang w:eastAsia="zh-CN"/>
                              </w:rPr>
                            </w:pPr>
                            <w:r>
                              <w:rPr>
                                <w:rFonts w:hint="eastAsia"/>
                                <w:sz w:val="24"/>
                                <w:szCs w:val="24"/>
                                <w:lang w:eastAsia="zh-CN"/>
                              </w:rPr>
                              <w:t>库房</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9.35pt;margin-top:111.95pt;height:48.05pt;width:48pt;z-index:251673600;mso-width-relative:page;mso-height-relative:page;" fillcolor="#FFFFFF [3201]" filled="t" stroked="t" coordsize="21600,21600" o:gfxdata="UEsDBAoAAAAAAIdO4kAAAAAAAAAAAAAAAAAEAAAAZHJzL1BLAwQUAAAACACHTuJA3/+butYAAAAK&#10;AQAADwAAAGRycy9kb3ducmV2LnhtbE2PwU7DMAyG70i8Q2Qkbixdi8baNZ0EEhLixtYLt6zx2mqJ&#10;UyXZOt4e7wRH25/+/3O9vTorLhji6EnBcpGBQOq8GalX0O7fn9YgYtJktPWECn4wwra5v6t1ZfxM&#10;X3jZpV5wCMVKKxhSmiopYzeg03HhJyS+HX1wOvEYemmCnjncWZln2Uo6PRI3DHrCtwG70+7sFHys&#10;XtM3tubTFHnh51Z24WijUo8Py2wDIuE1/cFw02d1aNjp4M9korAKyvULkwryvChB3IDymTcHBQUX&#10;g2xq+f+F5hdQSwMEFAAAAAgAh07iQNDMfO1DAgAAdAQAAA4AAABkcnMvZTJvRG9jLnhtbK1UwY7T&#10;MBC9I/EPlu80abctbNV0VboqQqrYlQri7DhOY+F4jO02KR8Af8CJC3e+q9/B2Gm7XZYTogd3xjN+&#10;M/NmJtObtlZkJ6yToDPa76WUCM2hkHqT0Q/vly9eUeI80wVToEVG98LRm9nzZ9PGTMQAKlCFsARB&#10;tJs0JqOV92aSJI5XomauB0ZoNJZga+ZRtZuksKxB9FolgzQdJw3Ywljgwjm8ve2MdBbxy1Jwf1eW&#10;TniiMoq5+XjaeObhTGZTNtlYZirJj2mwf8iiZlJj0DPULfOMbK18AlVLbsFB6Xsc6gTKUnIRa8Bq&#10;+ukf1awrZkSsBclx5kyT+3+w/N3u3hJZZHREiWY1tujw/dvhx6/Dz69kFOhpjJug19qgn29fQ4tt&#10;Pt07vAxVt6Wtwz/WQ9CORO/P5IrWE46X4/R6nKKFo2ncTwdXET15eGys828E1CQIGbXYu0gp262c&#10;x0TQ9eQSYjlQslhKpaJiN/lCWbJj2Odl/IUc8ckjN6VJg9GvRmlEfmQL2GeIXDH+6SkC4imNsIGT&#10;rvYg+TZvj0TlUOyRJwvdoDnDlxJxV8z5e2ZxspAA3BZ/h0epAJOBo0RJBfbL3+6DPzYcrZQ0OKkZ&#10;dZ+3zApK1FuNo3DdHw7DaEdlOHo5QMVeWvJLi97WC0CS+riXhkcx+Ht1EksL9UdcqnmIiiamOcbO&#10;qD+JC9/tDy4lF/N5dNoaKzdV9wAH2zC/0mvDQ5jQHg3zrYdSxjYGyjqejkziaMdWHdcw7M6lHr0e&#10;Pha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m7rWAAAACgEAAA8AAAAAAAAAAQAgAAAAIgAA&#10;AGRycy9kb3ducmV2LnhtbFBLAQIUABQAAAAIAIdO4kDQzHztQwIAAHQEAAAOAAAAAAAAAAEAIAAA&#10;ACUBAABkcnMvZTJvRG9jLnhtbFBLBQYAAAAABgAGAFkBAADaBQAAAAA=&#10;">
                <v:fill on="t" focussize="0,0"/>
                <v:stroke weight="0.5pt" color="#000000 [3204]" joinstyle="round"/>
                <v:imagedata o:title=""/>
                <o:lock v:ext="edit" aspectratio="f"/>
                <v:textbox>
                  <w:txbxContent>
                    <w:p>
                      <w:pPr>
                        <w:jc w:val="center"/>
                        <w:rPr>
                          <w:rFonts w:hint="eastAsia"/>
                          <w:sz w:val="24"/>
                          <w:szCs w:val="24"/>
                          <w:lang w:eastAsia="zh-CN"/>
                        </w:rPr>
                      </w:pPr>
                    </w:p>
                    <w:p>
                      <w:pPr>
                        <w:jc w:val="center"/>
                        <w:rPr>
                          <w:rFonts w:hint="eastAsia" w:eastAsiaTheme="minorEastAsia"/>
                          <w:sz w:val="24"/>
                          <w:szCs w:val="24"/>
                          <w:lang w:eastAsia="zh-CN"/>
                        </w:rPr>
                      </w:pPr>
                      <w:r>
                        <w:rPr>
                          <w:rFonts w:hint="eastAsia"/>
                          <w:sz w:val="24"/>
                          <w:szCs w:val="24"/>
                          <w:lang w:eastAsia="zh-CN"/>
                        </w:rPr>
                        <w:t>库房</w:t>
                      </w:r>
                    </w:p>
                  </w:txbxContent>
                </v:textbox>
              </v:shape>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606425</wp:posOffset>
                </wp:positionH>
                <wp:positionV relativeFrom="paragraph">
                  <wp:posOffset>231140</wp:posOffset>
                </wp:positionV>
                <wp:extent cx="7108190" cy="4401185"/>
                <wp:effectExtent l="4445" t="4445" r="12065" b="13970"/>
                <wp:wrapNone/>
                <wp:docPr id="1" name="文本框 1"/>
                <wp:cNvGraphicFramePr/>
                <a:graphic xmlns:a="http://schemas.openxmlformats.org/drawingml/2006/main">
                  <a:graphicData uri="http://schemas.microsoft.com/office/word/2010/wordprocessingShape">
                    <wps:wsp>
                      <wps:cNvSpPr txBox="1"/>
                      <wps:spPr>
                        <a:xfrm>
                          <a:off x="1083945" y="1374140"/>
                          <a:ext cx="7108190" cy="4401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7.75pt;margin-top:18.2pt;height:346.55pt;width:559.7pt;z-index:251658240;mso-width-relative:page;mso-height-relative:page;" fillcolor="#FFFFFF [3201]" filled="t" stroked="t" coordsize="21600,21600" o:gfxdata="UEsDBAoAAAAAAIdO4kAAAAAAAAAAAAAAAAAEAAAAZHJzL1BLAwQUAAAACACHTuJA05mYw9cAAAAK&#10;AQAADwAAAGRycy9kb3ducmV2LnhtbE2Py07DMBRE90j8g3UrsaPOowkk5KYSSEiIHW027Nz4Nonq&#10;R2S7Tfl73BUsRzOaOdNsr1qxCzk/WYOQrhNgZHorJzMgdPv3x2dgPggjhbKGEH7Iw7a9v2tELe1i&#10;vuiyCwOLJcbXAmEMYa459/1IWvi1nclE72idFiFKN3DpxBLLteJZkpRci8nEhVHM9DZSf9qdNcJH&#10;+Rq+qZOfMs9yu3S8d0flER9WafICLNA1/IXhhh/RoY1MB3s20jOFUBVFTCLk5QbYzc/STQXsgPCU&#10;VQXwtuH/L7S/UEsDBBQAAAAIAIdO4kDE7f2YTQIAAIIEAAAOAAAAZHJzL2Uyb0RvYy54bWytVMFu&#10;EzEQvSPxD5bvdHfTTdNE2VShVRBSRSsFxNnxerMWXo+xneyWD4A/4MSFO9/V72Ds3aQt5YTIwRl7&#10;Xt7MvJnJ/KJrFNkL6yTogmYnKSVCcyil3hb0w/vVq3NKnGe6ZAq0KOidcPRi8fLFvDUzMYIaVCks&#10;QRLtZq0paO29mSWJ47VomDsBIzQ6K7AN83i126S0rEX2RiWjND1LWrClscCFc/h61TvpIvJXleD+&#10;pqqc8EQVFHPz8bTx3IQzWczZbGuZqSUf0mD/kEXDpMagR6or5hnZWfmMqpHcgoPKn3BoEqgqyUWs&#10;AavJ0j+qWdfMiFgLiuPMUSb3/2j5u/2tJbLE3lGiWYMtuv/+7f7Hr/ufX0kW5GmNmyFqbRDnu9fQ&#10;Bejw7vAxVN1VtgnfWA8J/vT8dJqPKblD+3SSZ/kgtOg84QiYICKbYj84IvI8zbLzceBMHqiMdf6N&#10;gIYEo6AWOxkFZvtr53voARIiO1CyXEml4sVuN5fKkj3Drq/iZ2B/AlOatAU9Ox2nkfmJL3AfKTaK&#10;8U/PGTBbpTHpoFCvRLB8t+kGeTZQ3qFqFvqxc4avJPJeM+dvmcU5QwVwd/wNHpUCTAYGi5Ia7Je/&#10;vQc8th+9lLQ4twV1n3fMCkrUW42DMc1QTxz0eMnHkxFe7GPP5rFH75pLQJGw+ZhdNAPeq4NZWWg+&#10;4ootQ1R0Mc0xdkH9wbz0/TbhinKxXEbQzli5rfsf4Jgb5q/12vAQJrRHw3LnoZKxjUGyXqdBSRz0&#10;OAjDUoZNenyPqIe/j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5mYw9cAAAAKAQAADwAAAAAA&#10;AAABACAAAAAiAAAAZHJzL2Rvd25yZXYueG1sUEsBAhQAFAAAAAgAh07iQMTt/ZhNAgAAggQAAA4A&#10;AAAAAAAAAQAgAAAAJgEAAGRycy9lMm9Eb2MueG1sUEsFBgAAAAAGAAYAWQEAAOUFAAAAAA==&#10;">
                <v:fill on="t" focussize="0,0"/>
                <v:stroke weight="0.5pt" color="#000000 [3204]" joinstyle="round"/>
                <v:imagedata o:title=""/>
                <o:lock v:ext="edit" aspectratio="f"/>
                <v:textbox>
                  <w:txbxContent>
                    <w:p/>
                  </w:txbxContent>
                </v:textbox>
              </v:shape>
            </w:pict>
          </mc:Fallback>
        </mc:AlternateContent>
      </w:r>
    </w:p>
    <w:p>
      <w:pPr>
        <w:rPr>
          <w:sz w:val="24"/>
        </w:rPr>
      </w:pPr>
      <w:r>
        <w:rPr>
          <w:sz w:val="24"/>
        </w:rPr>
        <mc:AlternateContent>
          <mc:Choice Requires="wps">
            <w:drawing>
              <wp:anchor distT="0" distB="0" distL="114300" distR="114300" simplePos="0" relativeHeight="285404160" behindDoc="0" locked="0" layoutInCell="1" allowOverlap="1">
                <wp:simplePos x="0" y="0"/>
                <wp:positionH relativeFrom="column">
                  <wp:posOffset>8270240</wp:posOffset>
                </wp:positionH>
                <wp:positionV relativeFrom="paragraph">
                  <wp:posOffset>117475</wp:posOffset>
                </wp:positionV>
                <wp:extent cx="1055370" cy="224790"/>
                <wp:effectExtent l="0" t="0" r="11430" b="3810"/>
                <wp:wrapNone/>
                <wp:docPr id="37" name="文本框 37"/>
                <wp:cNvGraphicFramePr/>
                <a:graphic xmlns:a="http://schemas.openxmlformats.org/drawingml/2006/main">
                  <a:graphicData uri="http://schemas.microsoft.com/office/word/2010/wordprocessingShape">
                    <wps:wsp>
                      <wps:cNvSpPr txBox="1"/>
                      <wps:spPr>
                        <a:xfrm>
                          <a:off x="0" y="0"/>
                          <a:ext cx="1055370" cy="224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2</w:t>
                            </w:r>
                            <w:r>
                              <w:rPr>
                                <w:rFonts w:hint="default" w:ascii="Times New Roman" w:hAnsi="Times New Roman" w:cs="Times New Roman"/>
                                <w:sz w:val="16"/>
                                <w:szCs w:val="20"/>
                                <w:lang w:val="en-US" w:eastAsia="zh-CN"/>
                              </w:rPr>
                              <w:t>号监测点位</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651.2pt;margin-top:9.25pt;height:17.7pt;width:83.1pt;z-index:285404160;mso-width-relative:page;mso-height-relative:page;" fillcolor="#FFFFFF [3201]" filled="t" stroked="f" coordsize="21600,21600" o:gfxdata="UEsDBAoAAAAAAIdO4kAAAAAAAAAAAAAAAAAEAAAAZHJzL1BLAwQUAAAACACHTuJAUEGzLtkAAAAL&#10;AQAADwAAAGRycy9kb3ducmV2LnhtbE2PPU/DMBCGdyT+g3VIbNRumy/SOB2QWBBLU1AZr/E1CcR2&#10;FLtJ++9xJ9ju1T1677lie9E9m2h0nTUSlgsBjExtVWcaCR/716cMmPNoFPbWkIQrOdiW93cF5srO&#10;ZkdT5RsWSozLUULr/ZBz7uqWNLqFHciE3cmOGn2IY8PViHMo1z1fCZFwjZ0JF1oc6KWl+qc6awlu&#10;mudDHH1+4dvu+n1I0jR9r0YpHx+WYgPM08X/wXDTD+pQBqejPRvlWB/yWqyiwIYpi4HdiCjJEmBH&#10;CfH6GXhZ8P8/lL9QSwMEFAAAAAgAh07iQPY8yt86AgAATwQAAA4AAABkcnMvZTJvRG9jLnhtbK1U&#10;S44TMRDdI3EHy3vS+U6YKJ1RyCgIKWJGCoi143anLflH2Ul3OADcgBUb9pwr56DsTjLhs0Jk4ZRd&#10;r36vqnp612hF9gK8tCanvU6XEmG4LaTZ5vT9u+WLl5T4wEzBlDUipwfh6d3s+bNp7SaibyurCgEE&#10;nRg/qV1OqxDcJMs8r4RmvmOdMKgsLWgW8ArbrABWo3etsn63e5PVFgoHlgvv8fW+VdJZ8l+WgoeH&#10;svQiEJVTzC2kE9K5iWc2m7LJFpirJD+lwf4hC82kwaAXV/csMLID+YcrLTlYb8vQ4VZntiwlF6kG&#10;rKbX/a2adcWcSLUgOd5daPL/zy1/u38EIoucDsaUGKaxR8evX47ffhy/fyb4hgTVzk8Qt3aIDM0r&#10;22Cjz+8eH2PdTQk6/mNFBPVI9eFCr2gC4dGoOxoNxqjiqOv3h+PbxH/2ZO3Ah9fCahKFnAK2L7HK&#10;9isfMBOEniExmLdKFkupVLrAdrNQQPYMW71Mv5gkmvwCU4bUOb0ZjLrJs7HRvsUpg/BYbFtUlEKz&#10;aU4MbGxxQALAtjPkHV9KzHLFfHhkgEODheEihAc8SmUxiD1JlFQWPv3tPeKxl6ilpMYhzKn/uGMg&#10;KFFvDHb5tjccxqlNl+Fo3McLXGs21xqz0wuLxfdw5RxPYsQHdRZLsPoD7ss8RkUVMxxj5zScxUVo&#10;VwP3jYv5PIF2DuS2ag1wZh0LK7N2PIZJtLv5LiCJqT2RspanE5M4takFpw2La3F9T6in78D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BBsy7ZAAAACwEAAA8AAAAAAAAAAQAgAAAAIgAAAGRycy9k&#10;b3ducmV2LnhtbFBLAQIUABQAAAAIAIdO4kD2PMrfOgIAAE8EAAAOAAAAAAAAAAEAIAAAACgBAABk&#10;cnMvZTJvRG9jLnhtbFBLBQYAAAAABgAGAFkBAADUBQAAAAA=&#10;">
                <v:fill on="t" focussize="0,0"/>
                <v:stroke on="f" weight="0.5pt"/>
                <v:imagedata o:title=""/>
                <o:lock v:ext="edit" aspectratio="f"/>
                <v:textbox style="mso-fit-shape-to-text:t;">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2</w:t>
                      </w:r>
                      <w:r>
                        <w:rPr>
                          <w:rFonts w:hint="default" w:ascii="Times New Roman" w:hAnsi="Times New Roman" w:cs="Times New Roman"/>
                          <w:sz w:val="16"/>
                          <w:szCs w:val="20"/>
                          <w:lang w:val="en-US" w:eastAsia="zh-CN"/>
                        </w:rPr>
                        <w:t>号监测点位</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6275070</wp:posOffset>
                </wp:positionH>
                <wp:positionV relativeFrom="paragraph">
                  <wp:posOffset>166370</wp:posOffset>
                </wp:positionV>
                <wp:extent cx="981710" cy="419735"/>
                <wp:effectExtent l="4445" t="4445" r="23495" b="13970"/>
                <wp:wrapNone/>
                <wp:docPr id="4" name="文本框 4"/>
                <wp:cNvGraphicFramePr/>
                <a:graphic xmlns:a="http://schemas.openxmlformats.org/drawingml/2006/main">
                  <a:graphicData uri="http://schemas.microsoft.com/office/word/2010/wordprocessingShape">
                    <wps:wsp>
                      <wps:cNvSpPr txBox="1"/>
                      <wps:spPr>
                        <a:xfrm>
                          <a:off x="0" y="0"/>
                          <a:ext cx="98171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门卫</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94.1pt;margin-top:13.1pt;height:33.05pt;width:77.3pt;z-index:251665408;mso-width-relative:page;mso-height-relative:page;" fillcolor="#FFFFFF [3201]" filled="t" stroked="t" coordsize="21600,21600" o:gfxdata="UEsDBAoAAAAAAIdO4kAAAAAAAAAAAAAAAAAEAAAAZHJzL1BLAwQUAAAACACHTuJAJYjqVdYAAAAK&#10;AQAADwAAAGRycy9kb3ducmV2LnhtbE2PQUvEMBCF74L/IYzgzU2bSqm16YKCIN5ce9lbtplti8mk&#10;NNnt+u+dPelpeLyPN+8124t34oxLnAJpyDcZCKQ+2IkGDd3X20MFIiZD1rhAqOEHI2zb25vG1Das&#10;9InnXRoEh1CsjYYxpbmWMvYjehM3YUZi7xgWbxLLZZB2MSuHeydVlpXSm4n4w2hmfB2x/96dvIb3&#10;8iXtsbMftlBFWDvZL0cXtb6/y7NnEAkv6Q+Ga32uDi13OoQT2SichqeqUoxqUCXfK5A/Kh5zYEsV&#10;INtG/p/Q/gJQSwMEFAAAAAgAh07iQOTIUNpDAgAAdAQAAA4AAABkcnMvZTJvRG9jLnhtbK1UwY7a&#10;MBC9V+o/WL6XEBaWBRFWlBVVJdRdiVY9G8chVh2PaxsS+gHtH/TUS+/9Lr6jYwdYtttT1RycGc/k&#10;zcybmUxum0qRnbBOgs5o2ulSIjSHXOpNRj+8X7y6ocR5pnOmQIuM7oWjt9OXLya1GYselKByYQmC&#10;aDeuTUZL7804SRwvRcVcB4zQaCzAVsyjajdJblmN6JVKet3udVKDzY0FLpzD27vWSKcRvygE9/dF&#10;4YQnKqOYm4+njec6nMl0wsYby0wp+TEN9g9ZVExqDHqGumOeka2Vz6AqyS04KHyHQ5VAUUguYg1Y&#10;Tdr9o5pVyYyItSA5zpxpcv8Plr/bPVgi84z2KdGswhYdvn87/Ph1+PmV9AM9tXFj9FoZ9PPNa2iw&#10;zad7h5eh6qawVXhjPQTtSPT+TK5oPOF4ObpJhylaOJr66Wh4NQgoyePHxjr/RkBFgpBRi72LlLLd&#10;0vnW9eQSYjlQMl9IpaJiN+u5smTHsM+L+BzRn7gpTeqMXl8NuhH5iS1gnyHWivFPzxEwW6Ux6cBJ&#10;W3uQfLNujkStId8jTxbaQXOGLyTiLpnzD8ziZCEBuC3+Ho9CASYDR4mSEuyXv90Hf2w4WimpcVIz&#10;6j5vmRWUqLcaR2GU9vthtKPSHwx7qNhLy/rSorfVHJCkFPfS8CgGf69OYmGh+ohLNQtR0cQ0x9gZ&#10;9Sdx7tv9waXkYjaLTltj5aZsP8DBNswv9crwECa0R8Ns66GQsY2BspanI5M42nEQjmsYdudSj16P&#10;P4v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WI6lXWAAAACgEAAA8AAAAAAAAAAQAgAAAAIgAA&#10;AGRycy9kb3ducmV2LnhtbFBLAQIUABQAAAAIAIdO4kDkyFDaQwIAAHQEAAAOAAAAAAAAAAEAIAAA&#10;ACUBAABkcnMvZTJvRG9jLnhtbFBLBQYAAAAABgAGAFkBAADaBQAAAAA=&#10;">
                <v:fill on="t" focussize="0,0"/>
                <v:stroke weight="0.5pt" color="#000000 [3204]" joinstyle="round"/>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门卫</w:t>
                      </w:r>
                    </w:p>
                  </w:txbxContent>
                </v:textbox>
              </v:shape>
            </w:pict>
          </mc:Fallback>
        </mc:AlternateContent>
      </w:r>
    </w:p>
    <w:p>
      <w:pPr>
        <w:rPr>
          <w:sz w:val="24"/>
        </w:rPr>
      </w:pPr>
    </w:p>
    <w:p>
      <w:pPr>
        <w:rPr>
          <w:sz w:val="24"/>
        </w:rPr>
      </w:pPr>
      <w:r>
        <w:rPr>
          <w:sz w:val="24"/>
        </w:rPr>
        <mc:AlternateContent>
          <mc:Choice Requires="wps">
            <w:drawing>
              <wp:anchor distT="0" distB="0" distL="114300" distR="114300" simplePos="0" relativeHeight="262194176" behindDoc="0" locked="0" layoutInCell="1" allowOverlap="1">
                <wp:simplePos x="0" y="0"/>
                <wp:positionH relativeFrom="column">
                  <wp:posOffset>8104505</wp:posOffset>
                </wp:positionH>
                <wp:positionV relativeFrom="paragraph">
                  <wp:posOffset>186055</wp:posOffset>
                </wp:positionV>
                <wp:extent cx="200025" cy="209550"/>
                <wp:effectExtent l="6350" t="6350" r="22225" b="12700"/>
                <wp:wrapNone/>
                <wp:docPr id="21" name="椭圆 21"/>
                <wp:cNvGraphicFramePr/>
                <a:graphic xmlns:a="http://schemas.openxmlformats.org/drawingml/2006/main">
                  <a:graphicData uri="http://schemas.microsoft.com/office/word/2010/wordprocessingShape">
                    <wps:wsp>
                      <wps:cNvSpPr/>
                      <wps:spPr>
                        <a:xfrm>
                          <a:off x="0" y="0"/>
                          <a:ext cx="200025" cy="2095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8.15pt;margin-top:14.65pt;height:16.5pt;width:15.75pt;z-index:262194176;v-text-anchor:middle;mso-width-relative:page;mso-height-relative:page;" fillcolor="#ED7D31 [3205]" filled="t" stroked="t" coordsize="21600,21600" o:gfxdata="UEsDBAoAAAAAAIdO4kAAAAAAAAAAAAAAAAAEAAAAZHJzL1BLAwQUAAAACACHTuJA4pGWctgAAAAL&#10;AQAADwAAAGRycy9kb3ducmV2LnhtbE2PPWvDMBCG90L/g7hCt0ayDXbjWs4QyFQISRxoR9lSLVPr&#10;ZCwlcf99L1M7HS/38H5Um8WN7GrmMHiUkKwEMIOd1wP2Es7N7uUVWIgKtRo9Ggk/JsCmfnyoVKn9&#10;DY/meoo9IxMMpZJgY5xKzkNnjVNh5SeD9Pvys1OR5NxzPasbmbuRp0Lk3KkBKcGqyWyt6b5PF0ch&#10;uf3c7z+Spm2K43Q4rO1u+75I+fyUiDdg0SzxD4Z7faoONXVq/QV1YCPptMgzYiWka7p3IhMFrWkl&#10;5GkGvK74/w31L1BLAwQUAAAACACHTuJA06udwGoCAADLBAAADgAAAGRycy9lMm9Eb2MueG1srVTN&#10;bhMxEL4j8Q6W73Q3S0PbqJsqaihCqmilgjg7Xm/Wkv+wnWzKA/AUHLnyWPAcfPZu2hQ4IS7eGc/4&#10;m/nmZ88vdlqRrfBBWlPTyVFJiTDcNtKsa/rh/dWLU0pCZKZhyhpR03sR6MX8+bPz3s1EZTurGuEJ&#10;QEyY9a6mXYxuVhSBd0KzcGSdMDC21msWofp10XjWA12roirLV0VvfeO85SIE3C4HI51n/LYVPN60&#10;bRCRqJoit5hPn89VOov5OZutPXOd5GMa7B+y0EwaBH2AWrLIyMbLP6C05N4G28YjbnVh21ZykTmA&#10;zaT8jc1dx5zIXFCc4B7KFP4fLH+3vfVENjWtJpQYptGjn9++//j6heAC1eldmMHpzt36UQsQE9Vd&#10;63X6ggTZ5YreP1RU7CLhuESLympKCYepKs+m01zx4vGx8yG+EVaTJNRUKCVdSJzZjG2vQ0RMeO+9&#10;0nWwSjZXUqms+PXqUnmyZejv6+XJ8mVOGk+euClDekxndVJiBjjDnLWKRYjagXkwa0qYWmOAefQ5&#10;9pPX4TDI4vV0gcrk4B1rxBB6Cp57aqN7TvwJTmKxZKEbnmTTMH9aRiyBkrqmpwloj6QMQFIDhpIn&#10;aWWbezTM22GSg+NXErDXLMRb5jG6IIh1jDc4WmXB2o4SJZ31n/92n/wxUbBS0mMVUJFPG+YFJeqt&#10;waydTY6P0+5k5Xh6UkHxh5bVocVs9KVFNzBOyC6LyT+qvdh6qz9iaxcpKkzMcMQeaj8ql3FYUew9&#10;F4tFdsO+OBavzZ3jCTw1wNjFJtpW5il5rM5YNGxM7sG43WklD/Xs9fgPm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pGWctgAAAALAQAADwAAAAAAAAABACAAAAAiAAAAZHJzL2Rvd25yZXYueG1s&#10;UEsBAhQAFAAAAAgAh07iQNOrncBqAgAAywQAAA4AAAAAAAAAAQAgAAAAJwEAAGRycy9lMm9Eb2Mu&#10;eG1sUEsFBgAAAAAGAAYAWQEAAAMGAAAAAA==&#10;">
                <v:fill on="t" focussize="0,0"/>
                <v:stroke weight="1pt" color="#AE5A21 [3205]" miterlimit="8" joinstyle="miter"/>
                <v:imagedata o:title=""/>
                <o:lock v:ext="edit" aspectratio="f"/>
              </v:shape>
            </w:pict>
          </mc:Fallback>
        </mc:AlternateContent>
      </w:r>
    </w:p>
    <w:p>
      <w:pPr>
        <w:rPr>
          <w:sz w:val="24"/>
        </w:rPr>
      </w:pPr>
      <w:r>
        <w:rPr>
          <w:sz w:val="24"/>
        </w:rPr>
        <mc:AlternateContent>
          <mc:Choice Requires="wps">
            <w:drawing>
              <wp:anchor distT="0" distB="0" distL="114300" distR="114300" simplePos="0" relativeHeight="319151104" behindDoc="0" locked="0" layoutInCell="1" allowOverlap="1">
                <wp:simplePos x="0" y="0"/>
                <wp:positionH relativeFrom="column">
                  <wp:posOffset>8308975</wp:posOffset>
                </wp:positionH>
                <wp:positionV relativeFrom="paragraph">
                  <wp:posOffset>83185</wp:posOffset>
                </wp:positionV>
                <wp:extent cx="1012825" cy="224790"/>
                <wp:effectExtent l="0" t="0" r="15875" b="3810"/>
                <wp:wrapNone/>
                <wp:docPr id="38" name="文本框 38"/>
                <wp:cNvGraphicFramePr/>
                <a:graphic xmlns:a="http://schemas.openxmlformats.org/drawingml/2006/main">
                  <a:graphicData uri="http://schemas.microsoft.com/office/word/2010/wordprocessingShape">
                    <wps:wsp>
                      <wps:cNvSpPr txBox="1"/>
                      <wps:spPr>
                        <a:xfrm>
                          <a:off x="0" y="0"/>
                          <a:ext cx="1012825" cy="224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3</w:t>
                            </w:r>
                            <w:r>
                              <w:rPr>
                                <w:rFonts w:hint="default" w:ascii="Times New Roman" w:hAnsi="Times New Roman" w:cs="Times New Roman"/>
                                <w:sz w:val="16"/>
                                <w:szCs w:val="20"/>
                                <w:lang w:val="en-US" w:eastAsia="zh-CN"/>
                              </w:rPr>
                              <w:t>号监测点位</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654.25pt;margin-top:6.55pt;height:17.7pt;width:79.75pt;z-index:319151104;mso-width-relative:page;mso-height-relative:page;" fillcolor="#FFFFFF [3201]" filled="t" stroked="f" coordsize="21600,21600" o:gfxdata="UEsDBAoAAAAAAIdO4kAAAAAAAAAAAAAAAAAEAAAAZHJzL1BLAwQUAAAACACHTuJAKHf6X9cAAAAL&#10;AQAADwAAAGRycy9kb3ducmV2LnhtbE2PQU+EMBCF7yb+h2ZMvLktygJByh5MvBgvi5r12KUjoLQl&#10;bRd2/73DSW/z8r68ea/anc3IZvRhcFZCshHA0LZOD7aT8P72fFcAC1FZrUZnUcIFA+zq66tKldot&#10;do9zEztGITaUSkIf41RyHtoejQobN6El78t5oyJJ33Ht1ULhZuT3QmTcqMHSh15N+NRj+9OcjIQw&#10;L8thm358qpf95fuQ5Xn+2ngpb28S8Qgs4jn+wbDWp+pQU6ejO1kd2Ej6QRRbYtcrAbYSaVbQvKOE&#10;lBxeV/z/hvoXUEsDBBQAAAAIAIdO4kBnAb1PPAIAAE8EAAAOAAAAZHJzL2Uyb0RvYy54bWytVEuO&#10;GjEQ3UfKHSzvQ0MPzAfRjAgjokijzEgkytq43bQl2+XYhm5ygOQGs8om+5yLc6TsBoZ8VlFYmLLr&#10;1e9VVU9uW63IVjgvwRR00OtTIgyHUpp1QT+8X7y6psQHZkqmwIiC7oSnt9OXLyaNHYscalClcASd&#10;GD9ubEHrEOw4yzyvhWa+B1YYVFbgNAt4deusdKxB71pleb9/mTXgSuuAC+/x9a5T0mnyX1WCh4eq&#10;8iIQVVDMLaTTpXMVz2w6YeO1Y7aW/JAG+4csNJMGg55c3bHAyMbJP1xpyR14qEKPg86gqiQXqQas&#10;ZtD/rZplzaxItSA53p5o8v/PLX+3fXRElgW9wE4ZprFH+6ev+28/9t+/EHxDghrrx4hbWkSG9jW0&#10;2Ojju8fHWHdbOR3/sSKCeqR6d6JXtIHwaNQf5Nf5iBKOujwfXt0k/rNna+t8eCNAkygU1GH7Eqts&#10;e+8DZoLQIyQG86BkuZBKpYtbr+bKkS3DVi/SLyaJJr/AlCFNQS8vRv3k2UC073DKIDwW2xUVpdCu&#10;2gMDKyh3SICDboa85QuJWd4zHx6Zw6HBmnERwgMelQIMAgeJkhrc57+9Rzz2ErWUNDiEBfWfNswJ&#10;StRbg12+GQyHcWrTZTi6yvHizjWrc43Z6Dlg8QNcOcuTGPFBHcXKgf6I+zKLUVHFDMfYBQ1HcR66&#10;1cB942I2S6CNdXJddwY4s5aFe7O0PIZJtNvZJiCJqT2Rso6nA5M4takFhw2La3F+T6jn78D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h3+l/XAAAACwEAAA8AAAAAAAAAAQAgAAAAIgAAAGRycy9k&#10;b3ducmV2LnhtbFBLAQIUABQAAAAIAIdO4kBnAb1PPAIAAE8EAAAOAAAAAAAAAAEAIAAAACYBAABk&#10;cnMvZTJvRG9jLnhtbFBLBQYAAAAABgAGAFkBAADUBQAAAAA=&#10;">
                <v:fill on="t" focussize="0,0"/>
                <v:stroke on="f" weight="0.5pt"/>
                <v:imagedata o:title=""/>
                <o:lock v:ext="edit" aspectratio="f"/>
                <v:textbox style="mso-fit-shape-to-text:t;">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3</w:t>
                      </w:r>
                      <w:r>
                        <w:rPr>
                          <w:rFonts w:hint="default" w:ascii="Times New Roman" w:hAnsi="Times New Roman" w:cs="Times New Roman"/>
                          <w:sz w:val="16"/>
                          <w:szCs w:val="20"/>
                          <w:lang w:val="en-US" w:eastAsia="zh-CN"/>
                        </w:rPr>
                        <w:t>号监测点位</w:t>
                      </w:r>
                    </w:p>
                  </w:txbxContent>
                </v:textbox>
              </v:shape>
            </w:pict>
          </mc:Fallback>
        </mc:AlternateContent>
      </w:r>
      <w:r>
        <w:rPr>
          <w:sz w:val="24"/>
        </w:rPr>
        <mc:AlternateContent>
          <mc:Choice Requires="wps">
            <w:drawing>
              <wp:anchor distT="0" distB="0" distL="114300" distR="114300" simplePos="0" relativeHeight="264313856" behindDoc="0" locked="0" layoutInCell="1" allowOverlap="1">
                <wp:simplePos x="0" y="0"/>
                <wp:positionH relativeFrom="column">
                  <wp:posOffset>979170</wp:posOffset>
                </wp:positionH>
                <wp:positionV relativeFrom="paragraph">
                  <wp:posOffset>635</wp:posOffset>
                </wp:positionV>
                <wp:extent cx="200025" cy="209550"/>
                <wp:effectExtent l="6350" t="6350" r="22225" b="12700"/>
                <wp:wrapNone/>
                <wp:docPr id="22" name="椭圆 22"/>
                <wp:cNvGraphicFramePr/>
                <a:graphic xmlns:a="http://schemas.openxmlformats.org/drawingml/2006/main">
                  <a:graphicData uri="http://schemas.microsoft.com/office/word/2010/wordprocessingShape">
                    <wps:wsp>
                      <wps:cNvSpPr/>
                      <wps:spPr>
                        <a:xfrm>
                          <a:off x="0" y="0"/>
                          <a:ext cx="200025" cy="209550"/>
                        </a:xfrm>
                        <a:prstGeom prst="ellipse">
                          <a:avLst/>
                        </a:prstGeom>
                        <a:solidFill>
                          <a:srgbClr val="00B050"/>
                        </a:solidFill>
                        <a:ln>
                          <a:solidFill>
                            <a:srgbClr val="00B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1pt;margin-top:0.05pt;height:16.5pt;width:15.75pt;z-index:264313856;v-text-anchor:middle;mso-width-relative:page;mso-height-relative:page;" fillcolor="#00B050" filled="t" stroked="t" coordsize="21600,21600" o:gfxdata="UEsDBAoAAAAAAIdO4kAAAAAAAAAAAAAAAAAEAAAAZHJzL1BLAwQUAAAACACHTuJAWdeRKNcAAAAH&#10;AQAADwAAAGRycy9kb3ducmV2LnhtbE2OwW7CMBBE75X4B2uRuFTgBEqJ0jgckECq1KI29NKbsbdJ&#10;RLyOYofQv69zosfRG828bHszDbti52pLAuJFBAxJWV1TKeDrtJ8nwJyXpGVjCQX8ooNtPnnIZKrt&#10;QJ94LXzJwgi5VAqovG9Tzp2q0Ei3sC1SYD+2M9KH2JVcd3II46bhyyh65kbWFB4q2eKuQnUpeiOg&#10;fzy25rV+L74PydvHfjiqy26jhJhN4+gFmMebv5dh1A/qkAens+1JO9aEvH5ahuoI2IiT9QbYWcBq&#10;FQPPM/7fP/8DUEsDBBQAAAAIAIdO4kCzgYPGUwIAAKoEAAAOAAAAZHJzL2Uyb0RvYy54bWytVM1u&#10;EzEQviPxDpbvdDerhrZRN1VoVYRU0UoFcXa8dtaS/7CdbMoD8BQcufJY8Bx89qZpCxwQ4uLMeGZn&#10;5vv8TU7PtkaTjQhROdvSyUFNibDcdcquWvr+3eWLY0piYrZj2lnR0jsR6dn8+bPTwc9E43qnOxEI&#10;itg4G3xL+5T8rKoi74Vh8cB5YRGULhiW4IZV1QU2oLrRVVPXL6vBhc4Hx0WMuL0Yg3Re6kspeLqW&#10;MopEdEsxWypnKOcyn9X8lM1Wgfle8d0Y7B+mMExZNN2XumCJkXVQv5UyigcXnUwH3JnKSam4KBiA&#10;ZlL/gua2Z14ULCAn+j1N8f+V5W83N4GorqVNQ4llBm/04+u3718+E1yAncHHGZJu/U3YeRFmhrqV&#10;weRfgCDbwujdnlGxTYTjEk9UN1NKOEJNfTKdFsarh499iOm1cIZko6VCa+VjxsxmbHMVE3oi+z4r&#10;X0enVXeptC5OWC3PdSAblt+3flXvGzxJ05YMUGdzVEMDnEFnUrME03ggj3ZFCdMrCJinUHo/+Tr+&#10;XZM85AWL/ThMqTDKy6gEjWtlWnoMPjDDiEpbgMv8joxma+m6O7xHcKNQo+eXCmWvWEw3LECZmB/b&#10;lq5xSO0Ayu0sSnoXPv3pPudDMIhSMkDpAPxxzYKgRL+xkNLJ5PAwr0ZxDqdHDZzwOLJ8HLFrc+5A&#10;9gR77Xkxc37S96YMznzAUi5yV4SY5eg9UrtzztO4gVhrLhaLkoZ18Cxd2VvPc/H8uNYt1slJVUTw&#10;wM6ONCxE0cZuefPGPfZL1sNfz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deRKNcAAAAHAQAA&#10;DwAAAAAAAAABACAAAAAiAAAAZHJzL2Rvd25yZXYueG1sUEsBAhQAFAAAAAgAh07iQLOBg8ZTAgAA&#10;qgQAAA4AAAAAAAAAAQAgAAAAJgEAAGRycy9lMm9Eb2MueG1sUEsFBgAAAAAGAAYAWQEAAOsFAAAA&#10;AA==&#10;">
                <v:fill on="t" focussize="0,0"/>
                <v:stroke weight="1pt" color="#00B050 [3205]" miterlimit="8" joinstyle="miter"/>
                <v:imagedata o:title=""/>
                <o:lock v:ext="edit" aspectratio="f"/>
              </v:shape>
            </w:pict>
          </mc:Fallback>
        </mc:AlternateContent>
      </w:r>
    </w:p>
    <w:p>
      <w:pPr>
        <w:rPr>
          <w:sz w:val="24"/>
        </w:rPr>
      </w:pPr>
    </w:p>
    <w:p>
      <w:pPr>
        <w:rPr>
          <w:sz w:val="24"/>
        </w:rPr>
      </w:pPr>
    </w:p>
    <w:p>
      <w:pPr>
        <w:rPr>
          <w:sz w:val="24"/>
        </w:rPr>
      </w:pPr>
      <w:r>
        <w:rPr>
          <w:sz w:val="24"/>
        </w:rPr>
        <mc:AlternateContent>
          <mc:Choice Requires="wps">
            <w:drawing>
              <wp:anchor distT="0" distB="0" distL="114300" distR="114300" simplePos="0" relativeHeight="256925696" behindDoc="0" locked="0" layoutInCell="1" allowOverlap="1">
                <wp:simplePos x="0" y="0"/>
                <wp:positionH relativeFrom="column">
                  <wp:posOffset>7827645</wp:posOffset>
                </wp:positionH>
                <wp:positionV relativeFrom="paragraph">
                  <wp:posOffset>187325</wp:posOffset>
                </wp:positionV>
                <wp:extent cx="200025" cy="209550"/>
                <wp:effectExtent l="6350" t="6350" r="22225" b="12700"/>
                <wp:wrapNone/>
                <wp:docPr id="19" name="椭圆 19"/>
                <wp:cNvGraphicFramePr/>
                <a:graphic xmlns:a="http://schemas.openxmlformats.org/drawingml/2006/main">
                  <a:graphicData uri="http://schemas.microsoft.com/office/word/2010/wordprocessingShape">
                    <wps:wsp>
                      <wps:cNvSpPr/>
                      <wps:spPr>
                        <a:xfrm>
                          <a:off x="0" y="0"/>
                          <a:ext cx="200025" cy="2095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6.35pt;margin-top:14.75pt;height:16.5pt;width:15.75pt;z-index:256925696;v-text-anchor:middle;mso-width-relative:page;mso-height-relative:page;" fillcolor="#ED7D31 [3205]" filled="t" stroked="t" coordsize="21600,21600" o:gfxdata="UEsDBAoAAAAAAIdO4kAAAAAAAAAAAAAAAAAEAAAAZHJzL1BLAwQUAAAACACHTuJApNjEUtkAAAAL&#10;AQAADwAAAGRycy9kb3ducmV2LnhtbE2PwW7CMBBE75X6D9ZW6q04cUuANA4HJE6VEJBK5ejEbhw1&#10;XkexgfTvu5zKcbRPM2+L9eR6djFj6DxKSGcJMION1x22Ej6r7csSWIgKteo9Ggm/JsC6fHwoVK79&#10;FQ/mcowtoxIMuZJgYxxyzkNjjVNh5geDdPv2o1OR4thyPaorlbueiyTJuFMd0oJVg9lY0/wcz45G&#10;Mnva7b7Sqq4Wh2G/X9nt5mOS8vkpTd6BRTPFfxhu+qQOJTnV/ow6sJ6yeBULYiWI1RzYjRDZmwBW&#10;S8jEHHhZ8Psfyj9QSwMEFAAAAAgAh07iQBXFwqBqAgAAywQAAA4AAABkcnMvZTJvRG9jLnhtbK1U&#10;zW4TMRC+I/EOlu90k6WhbdRNFTUtQqpopII4O15v1pL/sJ1sygPwFBy58ljwHHz2btqUckJcvDOe&#10;8cx8M/Pt+cVOK7IVPkhrKjo+GlEiDLe1NOuKfvxw/eqUkhCZqZmyRlT0XgR6MXv54rxzU1Ha1qpa&#10;eIIgJkw7V9E2RjctisBboVk4sk4YGBvrNYtQ/bqoPesQXauiHI3eFJ31tfOWixBwu+iNdJbjN43g&#10;8bZpgohEVRS1xXz6fK7SWczO2XTtmWslH8pg/1CFZtIg6UOoBYuMbLx8FkpL7m2wTTziVhe2aSQX&#10;GQPQjEd/oLlrmRMZC5oT3EObwv8Ly99vl57IGrM7o8QwjRn9+v7j57evBBfoTufCFE53bukHLUBM&#10;UHeN1+kLEGSXO3r/0FGxi4TjEiMalRNKOEzl6GwyyR0vHh87H+JbYTVJQkWFUtKFhJlN2fYmROSE&#10;994rXQerZH0tlcqKX68ulSdbhvleLU4Wr8epaDx54qYM6YCwPBlhBzjDnjWKRYjaAXkwa0qYWmOB&#10;efQ595PX4TDJ/GoyL8e9U8tq0aeeAOce2uD+vIqEYsFC2z/JKfr90zKCBErqip6mQPtIyiBIGkDf&#10;8iStbH2PgXnbb3Jw/Foi7A0Lcck8VhcAQcd4i6NRFqjtIFHSWv/lb/fJHxsFKyUdqICOfN4wLyhR&#10;7wx27Wx8fJy4k5XjyUkJxR9aVocWs9GXFtMYg/iOZzH5R7UXG2/1J7B2nrLCxAxH7r73g3IZe4qC&#10;91zM59kNfHEs3pg7x1PwNH1j55toG5m35LE7Q9PAmDyDgd2Jkod69nr8B8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TYxFLZAAAACwEAAA8AAAAAAAAAAQAgAAAAIgAAAGRycy9kb3ducmV2Lnht&#10;bFBLAQIUABQAAAAIAIdO4kAVxcKgagIAAMsEAAAOAAAAAAAAAAEAIAAAACgBAABkcnMvZTJvRG9j&#10;LnhtbFBLBQYAAAAABgAGAFkBAAAEBgAAAAA=&#10;">
                <v:fill on="t" focussize="0,0"/>
                <v:stroke weight="1pt" color="#AE5A21 [3205]" miterlimit="8" joinstyle="miter"/>
                <v:imagedata o:title=""/>
                <o:lock v:ext="edit" aspectratio="f"/>
              </v:shape>
            </w:pict>
          </mc:Fallback>
        </mc:AlternateContent>
      </w:r>
    </w:p>
    <w:p>
      <w:pPr>
        <w:rPr>
          <w:sz w:val="24"/>
        </w:rPr>
      </w:pPr>
    </w:p>
    <w:p>
      <w:pPr>
        <w:rPr>
          <w:sz w:val="24"/>
        </w:rPr>
      </w:pPr>
      <w:r>
        <w:rPr>
          <w:sz w:val="24"/>
        </w:rPr>
        <mc:AlternateContent>
          <mc:Choice Requires="wps">
            <w:drawing>
              <wp:anchor distT="0" distB="0" distL="114300" distR="114300" simplePos="0" relativeHeight="386644992" behindDoc="0" locked="0" layoutInCell="1" allowOverlap="1">
                <wp:simplePos x="0" y="0"/>
                <wp:positionH relativeFrom="column">
                  <wp:posOffset>7794625</wp:posOffset>
                </wp:positionH>
                <wp:positionV relativeFrom="paragraph">
                  <wp:posOffset>25400</wp:posOffset>
                </wp:positionV>
                <wp:extent cx="1012825" cy="287020"/>
                <wp:effectExtent l="0" t="0" r="15875" b="17780"/>
                <wp:wrapNone/>
                <wp:docPr id="39" name="文本框 39"/>
                <wp:cNvGraphicFramePr/>
                <a:graphic xmlns:a="http://schemas.openxmlformats.org/drawingml/2006/main">
                  <a:graphicData uri="http://schemas.microsoft.com/office/word/2010/wordprocessingShape">
                    <wps:wsp>
                      <wps:cNvSpPr txBox="1"/>
                      <wps:spPr>
                        <a:xfrm>
                          <a:off x="0" y="0"/>
                          <a:ext cx="101282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4</w:t>
                            </w:r>
                            <w:r>
                              <w:rPr>
                                <w:rFonts w:hint="default" w:ascii="Times New Roman" w:hAnsi="Times New Roman" w:cs="Times New Roman"/>
                                <w:sz w:val="16"/>
                                <w:szCs w:val="20"/>
                                <w:lang w:val="en-US" w:eastAsia="zh-CN"/>
                              </w:rPr>
                              <w:t>号监测点位</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13.75pt;margin-top:2pt;height:22.6pt;width:79.75pt;z-index:386644992;mso-width-relative:page;mso-height-relative:page;" fillcolor="#FFFFFF [3201]" filled="t" stroked="f" coordsize="21600,21600" o:gfxdata="UEsDBAoAAAAAAIdO4kAAAAAAAAAAAAAAAAAEAAAAZHJzL1BLAwQUAAAACACHTuJAPGORztUAAAAK&#10;AQAADwAAAGRycy9kb3ducmV2LnhtbE2PzU7DMBCE70i8g7VI3KiTUGhJ4/SAxBWJtvTsxksc1V5H&#10;tvv79GxPcNvZHc1+0yzP3okjxjQEUlBOChBIXTAD9Qo264+nOYiUNRntAqGCCyZYtvd3ja5NONEX&#10;Hle5FxxCqdYKbM5jLWXqLHqdJmFE4ttPiF5nlrGXJuoTh3snq6J4lV4PxB+sHvHdYrdfHbyCbe+v&#10;2+9yjNZ4N6XP62W9CYNSjw9lsQCR8Zz/zHDDZ3RomWkXDmSScKyravbCXgVT7nQzPM9nPO148VaB&#10;bBv5v0L7C1BLAwQUAAAACACHTuJAWEXOVz0CAABPBAAADgAAAGRycy9lMm9Eb2MueG1srVTNjtow&#10;EL5X6jtYvpeELOyyiLCirKgqoe5KtOrZOA6x5Hhc25DQB2jfYE+99N7n4jk6doClP6eqHMzY883f&#10;NzOZ3LW1IjthnQSd034vpURoDoXUm5x+eL94NaLEeaYLpkCLnO6Fo3fTly8mjRmLDCpQhbAEnWg3&#10;bkxOK+/NOEkcr0TNXA+M0KgswdbM49VuksKyBr3XKsnS9DppwBbGAhfO4et9p6TT6L8sBfcPZemE&#10;JyqnmJuPp43nOpzJdMLGG8tMJfkxDfYPWdRMagx6dnXPPCNbK/9wVUtuwUHpexzqBMpSchFrwGr6&#10;6W/VrCpmRKwFyXHmTJP7f275u92jJbLI6dUtJZrV2KPD09fDtx+H718IviFBjXFjxK0MIn37Glps&#10;9Ond4WOouy1tHf6xIoJ6pHp/ple0nvBglPazUTakhKMuG92kWeQ/ebY21vk3AmoShJxabF9kle2W&#10;zmMmCD1BQjAHShYLqVS82M16rizZMWz1Iv5CkmjyC0xp0uT0+mqYRs8agn2HUxrhodiuqCD5dt0e&#10;GVhDsUcCLHQz5AxfSMxyyZx/ZBaHBmvGRfAPeJQKMAgcJUoqsJ//9h7w2EvUUtLgEObUfdoyKyhR&#10;bzV2+bY/GISpjZfB8AYJI/ZSs77U6G09Byy+jytneBQD3quTWFqoP+K+zEJUVDHNMXZO/Umc+241&#10;cN+4mM0iaGus3FSdAc6sYX6pV4aHMIF2DbOth1LG9gTKOp6OTOLUxhYcNyysxeU9op6/A9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GORztUAAAAKAQAADwAAAAAAAAABACAAAAAiAAAAZHJzL2Rv&#10;d25yZXYueG1sUEsBAhQAFAAAAAgAh07iQFhFzlc9AgAATwQAAA4AAAAAAAAAAQAgAAAAJAEAAGRy&#10;cy9lMm9Eb2MueG1sUEsFBgAAAAAGAAYAWQEAANMFAAAAAA==&#10;">
                <v:fill on="t" focussize="0,0"/>
                <v:stroke on="f" weight="0.5pt"/>
                <v:imagedata o:title=""/>
                <o:lock v:ext="edit" aspectratio="f"/>
                <v:textbo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4</w:t>
                      </w:r>
                      <w:r>
                        <w:rPr>
                          <w:rFonts w:hint="default" w:ascii="Times New Roman" w:hAnsi="Times New Roman" w:cs="Times New Roman"/>
                          <w:sz w:val="16"/>
                          <w:szCs w:val="20"/>
                          <w:lang w:val="en-US" w:eastAsia="zh-CN"/>
                        </w:rPr>
                        <w:t>号监测点位</w:t>
                      </w:r>
                    </w:p>
                  </w:txbxContent>
                </v:textbox>
              </v:shape>
            </w:pict>
          </mc:Fallback>
        </mc:AlternateContent>
      </w:r>
    </w:p>
    <w:p>
      <w:pPr>
        <w:rPr>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2579370</wp:posOffset>
                </wp:positionH>
                <wp:positionV relativeFrom="paragraph">
                  <wp:posOffset>164465</wp:posOffset>
                </wp:positionV>
                <wp:extent cx="1532890" cy="1134110"/>
                <wp:effectExtent l="4445" t="4445" r="5715" b="23495"/>
                <wp:wrapNone/>
                <wp:docPr id="8" name="文本框 8"/>
                <wp:cNvGraphicFramePr/>
                <a:graphic xmlns:a="http://schemas.openxmlformats.org/drawingml/2006/main">
                  <a:graphicData uri="http://schemas.microsoft.com/office/word/2010/wordprocessingShape">
                    <wps:wsp>
                      <wps:cNvSpPr txBox="1"/>
                      <wps:spPr>
                        <a:xfrm>
                          <a:off x="0" y="0"/>
                          <a:ext cx="1532890" cy="1134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8"/>
                                <w:szCs w:val="36"/>
                                <w:lang w:eastAsia="zh-CN"/>
                              </w:rPr>
                            </w:pPr>
                          </w:p>
                          <w:p>
                            <w:pPr>
                              <w:jc w:val="center"/>
                              <w:rPr>
                                <w:rFonts w:hint="eastAsia" w:eastAsiaTheme="minorEastAsia"/>
                                <w:sz w:val="24"/>
                                <w:szCs w:val="32"/>
                                <w:lang w:eastAsia="zh-CN"/>
                              </w:rPr>
                            </w:pPr>
                            <w:r>
                              <w:rPr>
                                <w:rFonts w:hint="eastAsia"/>
                                <w:sz w:val="24"/>
                                <w:szCs w:val="32"/>
                                <w:lang w:eastAsia="zh-CN"/>
                              </w:rPr>
                              <w:t>库房</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3.1pt;margin-top:12.95pt;height:89.3pt;width:120.7pt;z-index:251693056;mso-width-relative:page;mso-height-relative:page;" fillcolor="#FFFFFF [3201]" filled="t" stroked="t" coordsize="21600,21600" o:gfxdata="UEsDBAoAAAAAAIdO4kAAAAAAAAAAAAAAAAAEAAAAZHJzL1BLAwQUAAAACACHTuJAsa+Z89cAAAAK&#10;AQAADwAAAGRycy9kb3ducmV2LnhtbE2Py07DMBBF90j8gzVI3VG7aWogxKkEUiXEjjYbdm48TSL8&#10;iGy3KX/PsILlzBzdObfeXp1lF4xpDF7BaimAoe+CGX2voD3s7h+Bpay90TZ4VPCNCbbN7U2tKxNm&#10;/4GXfe4ZhfhUaQVDzlPFeeoGdDotw4SebqcQnc40xp6bqGcKd5YXQkju9Ojpw6AnfB2w+9qfnYI3&#10;+ZI/sTXvZl2sw9zyLp5sUmpxtxLPwDJe8x8Mv/qkDg05HcPZm8SsglLIglAFxeYJGAGyfJDAjrQQ&#10;5QZ4U/P/FZofUEsDBBQAAAAIAIdO4kAIZ64dRgIAAHYEAAAOAAAAZHJzL2Uyb0RvYy54bWytVM2O&#10;EzEMviPxDlHudDr9WbpVp6vSVRFSxa5UEOc0k+lEZOKQpJ0pD8C+AScu3HmuPgdOpu12WU6IHlI7&#10;dj7bn+2Z3DSVIjthnQSd0bTTpURoDrnUm4x+/LB4NaLEeaZzpkCLjO6FozfTly8mtRmLHpSgcmEJ&#10;gmg3rk1GS+/NOEkcL0XFXAeM0GgswFbMo2o3SW5ZjeiVSnrd7lVSg82NBS6cw9vb1kinEb8oBPd3&#10;ReGEJyqjmJuPp43nOpzJdMLGG8tMKfkxDfYPWVRMagx6hrplnpGtlc+gKsktOCh8h0OVQFFILmIN&#10;WE3a/aOaVcmMiLUgOc6caXL/D5a/391bIvOMYqM0q7BFh+8Phx+/Dj+/kVGgpzZujF4rg36+eQMN&#10;tvl07/AyVN0Utgr/WA9BOxK9P5MrGk94eDTs90bXaOJoS9P+IE0j/cnjc2OdfyugIkHIqMXuRVLZ&#10;buk8poKuJ5cQzYGS+UIqFRW7Wc+VJTuGnV7EX8gSnzxxU5rUGb3qD7sR+YktYJ8h1orxz88REE9p&#10;hA2stNUHyTfr5kjVGvI9MmWhHTVn+EIi7pI5f88szhYygPvi7/AoFGAycJQoKcF+/dt98MeWo5WS&#10;Gmc1o+7LlllBiXqncRiu08EgDHdUBsPXPVTspWV9adHbag5IUoqbaXgUg79XJ7GwUH3CtZqFqGhi&#10;mmPsjPqTOPftBuFacjGbRaetsXJTtg9wtA3zS70yPIQJ7dEw23ooZGxjoKzl6cgkDnds1XERw/Zc&#10;6tHr8XM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xr5nz1wAAAAoBAAAPAAAAAAAAAAEAIAAA&#10;ACIAAABkcnMvZG93bnJldi54bWxQSwECFAAUAAAACACHTuJACGeuHUYCAAB2BAAADgAAAAAAAAAB&#10;ACAAAAAmAQAAZHJzL2Uyb0RvYy54bWxQSwUGAAAAAAYABgBZAQAA3gUAAAAA&#10;">
                <v:fill on="t" focussize="0,0"/>
                <v:stroke weight="0.5pt" color="#000000 [3204]" joinstyle="round"/>
                <v:imagedata o:title=""/>
                <o:lock v:ext="edit" aspectratio="f"/>
                <v:textbox>
                  <w:txbxContent>
                    <w:p>
                      <w:pPr>
                        <w:jc w:val="center"/>
                        <w:rPr>
                          <w:rFonts w:hint="eastAsia"/>
                          <w:sz w:val="28"/>
                          <w:szCs w:val="36"/>
                          <w:lang w:eastAsia="zh-CN"/>
                        </w:rPr>
                      </w:pPr>
                    </w:p>
                    <w:p>
                      <w:pPr>
                        <w:jc w:val="center"/>
                        <w:rPr>
                          <w:rFonts w:hint="eastAsia" w:eastAsiaTheme="minorEastAsia"/>
                          <w:sz w:val="24"/>
                          <w:szCs w:val="32"/>
                          <w:lang w:eastAsia="zh-CN"/>
                        </w:rPr>
                      </w:pPr>
                      <w:r>
                        <w:rPr>
                          <w:rFonts w:hint="eastAsia"/>
                          <w:sz w:val="24"/>
                          <w:szCs w:val="32"/>
                          <w:lang w:eastAsia="zh-CN"/>
                        </w:rPr>
                        <w:t>库房</w:t>
                      </w: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5112385</wp:posOffset>
                </wp:positionH>
                <wp:positionV relativeFrom="paragraph">
                  <wp:posOffset>154940</wp:posOffset>
                </wp:positionV>
                <wp:extent cx="1438275" cy="1134110"/>
                <wp:effectExtent l="4445" t="4445" r="5080" b="23495"/>
                <wp:wrapNone/>
                <wp:docPr id="9" name="文本框 9"/>
                <wp:cNvGraphicFramePr/>
                <a:graphic xmlns:a="http://schemas.openxmlformats.org/drawingml/2006/main">
                  <a:graphicData uri="http://schemas.microsoft.com/office/word/2010/wordprocessingShape">
                    <wps:wsp>
                      <wps:cNvSpPr txBox="1"/>
                      <wps:spPr>
                        <a:xfrm>
                          <a:off x="0" y="0"/>
                          <a:ext cx="1438275" cy="1134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8"/>
                                <w:szCs w:val="36"/>
                                <w:lang w:eastAsia="zh-CN"/>
                              </w:rPr>
                            </w:pPr>
                          </w:p>
                          <w:p>
                            <w:pPr>
                              <w:jc w:val="center"/>
                              <w:rPr>
                                <w:rFonts w:hint="eastAsia" w:eastAsiaTheme="minorEastAsia"/>
                                <w:sz w:val="24"/>
                                <w:szCs w:val="32"/>
                                <w:lang w:eastAsia="zh-CN"/>
                              </w:rPr>
                            </w:pPr>
                            <w:r>
                              <w:rPr>
                                <w:rFonts w:hint="eastAsia"/>
                                <w:sz w:val="24"/>
                                <w:szCs w:val="32"/>
                                <w:lang w:eastAsia="zh-CN"/>
                              </w:rPr>
                              <w:t>拆解车间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2.55pt;margin-top:12.2pt;height:89.3pt;width:113.25pt;z-index:251728896;mso-width-relative:page;mso-height-relative:page;" fillcolor="#FFFFFF [3201]" filled="t" stroked="t" coordsize="21600,21600" o:gfxdata="UEsDBAoAAAAAAIdO4kAAAAAAAAAAAAAAAAAEAAAAZHJzL1BLAwQUAAAACACHTuJA0gnX9NcAAAAL&#10;AQAADwAAAGRycy9kb3ducmV2LnhtbE2PwW7CMAyG75P2DpEncRtJW6hQ1xRpkyah3Qa97BYa01ZL&#10;nCoJlL39wgmOtj/9/v56e7WGXdCH0ZGEbCmAIXVOj9RLaA+frxtgISrSyjhCCX8YYNs8P9Wq0m6m&#10;b7zsY89SCIVKSRhinCrOQzegVWHpJqR0OzlvVUyj77n2ak7h1vBciJJbNVL6MKgJPwbsfvdnK2FX&#10;vscfbPWXLvLCzS3v/MkEKRcvmXgDFvEa7zDc9JM6NMnp6M6kAzMSNmKdJVRCvloBuwGiyEpgx7QR&#10;hQDe1PyxQ/MPUEsDBBQAAAAIAIdO4kCR8eGjRwIAAHYEAAAOAAAAZHJzL2Uyb0RvYy54bWytVM2O&#10;EzEMviPxDlHudDr92d1Wna5KV0VIFbtSQZzTTKYTkYlDknamPAC8AScu3HmuPgdOpu12WU6IHlI7&#10;dj7bn+2Z3DaVIjthnQSd0bTTpURoDrnUm4x+eL94dUOJ80znTIEWGd0LR2+nL19MajMWPShB5cIS&#10;BNFuXJuMlt6bcZI4XoqKuQ4YodFYgK2YR9VuktyyGtErlfS63aukBpsbC1w4h7d3rZFOI35RCO7v&#10;i8IJT1RGMTcfTxvPdTiT6YSNN5aZUvJjGuwfsqiY1Bj0DHXHPCNbK59BVZJbcFD4DocqgaKQXMQa&#10;sJq0+0c1q5IZEWtBcpw50+T+Hyx/t3uwROYZHVGiWYUtOnz/dvjx6/DzKxkFemrjxui1Mujnm9fQ&#10;YJtP9w4vQ9VNYavwj/UQtCPR+zO5ovGEh0eD/k3vekgJR1ua9gdpGulPHp8b6/wbARUJQkYtdi+S&#10;ynZL5zEVdD25hGgOlMwXUqmo2M16rizZMez0Iv5ClvjkiZvSpM7oVX/YjchPbAH7DLFWjH96joB4&#10;SiNsYKWtPki+WTdHqtaQ75EpC+2oOcMXEnGXzPkHZnG2kBzcF3+PR6EAk4GjREkJ9svf7oM/thyt&#10;lNQ4qxl1n7fMCkrUW43DMEoHgzDcURkMr3uo2EvL+tKit9UckKQUN9PwKAZ/r05iYaH6iGs1C1HR&#10;xDTH2Bn1J3Hu2w3CteRiNotOW2Plpmwf4Ggb5pd6ZXgIE9qjYbb1UMjYxkBZy9ORSRzu2KrjIobt&#10;udSj1+PnYv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gnX9NcAAAALAQAADwAAAAAAAAABACAA&#10;AAAiAAAAZHJzL2Rvd25yZXYueG1sUEsBAhQAFAAAAAgAh07iQJHx4aNHAgAAdgQAAA4AAAAAAAAA&#10;AQAgAAAAJgEAAGRycy9lMm9Eb2MueG1sUEsFBgAAAAAGAAYAWQEAAN8FAAAAAA==&#10;">
                <v:fill on="t" focussize="0,0"/>
                <v:stroke weight="0.5pt" color="#000000 [3204]" joinstyle="round"/>
                <v:imagedata o:title=""/>
                <o:lock v:ext="edit" aspectratio="f"/>
                <v:textbox>
                  <w:txbxContent>
                    <w:p>
                      <w:pPr>
                        <w:jc w:val="center"/>
                        <w:rPr>
                          <w:rFonts w:hint="eastAsia"/>
                          <w:sz w:val="28"/>
                          <w:szCs w:val="36"/>
                          <w:lang w:eastAsia="zh-CN"/>
                        </w:rPr>
                      </w:pPr>
                    </w:p>
                    <w:p>
                      <w:pPr>
                        <w:jc w:val="center"/>
                        <w:rPr>
                          <w:rFonts w:hint="eastAsia" w:eastAsiaTheme="minorEastAsia"/>
                          <w:sz w:val="24"/>
                          <w:szCs w:val="32"/>
                          <w:lang w:eastAsia="zh-CN"/>
                        </w:rPr>
                      </w:pPr>
                      <w:r>
                        <w:rPr>
                          <w:rFonts w:hint="eastAsia"/>
                          <w:sz w:val="24"/>
                          <w:szCs w:val="32"/>
                          <w:lang w:eastAsia="zh-CN"/>
                        </w:rPr>
                        <w:t>拆解车间</w:t>
                      </w:r>
                    </w:p>
                  </w:txbxContent>
                </v:textbox>
              </v:shape>
            </w:pict>
          </mc:Fallback>
        </mc:AlternateContent>
      </w:r>
    </w:p>
    <w:p>
      <w:pPr>
        <w:rPr>
          <w:sz w:val="24"/>
        </w:rPr>
      </w:pPr>
    </w:p>
    <w:p>
      <w:pPr>
        <w:rPr>
          <w:sz w:val="24"/>
        </w:rPr>
      </w:pPr>
    </w:p>
    <w:p>
      <w:pPr>
        <w:rPr>
          <w:sz w:val="24"/>
        </w:rPr>
      </w:pPr>
      <w:r>
        <w:rPr>
          <w:sz w:val="24"/>
        </w:rPr>
        <mc:AlternateContent>
          <mc:Choice Requires="wps">
            <w:drawing>
              <wp:anchor distT="0" distB="0" distL="114300" distR="114300" simplePos="0" relativeHeight="257455104" behindDoc="0" locked="0" layoutInCell="1" allowOverlap="1">
                <wp:simplePos x="0" y="0"/>
                <wp:positionH relativeFrom="column">
                  <wp:posOffset>7818120</wp:posOffset>
                </wp:positionH>
                <wp:positionV relativeFrom="paragraph">
                  <wp:posOffset>74930</wp:posOffset>
                </wp:positionV>
                <wp:extent cx="200025" cy="209550"/>
                <wp:effectExtent l="6350" t="6350" r="22225" b="12700"/>
                <wp:wrapNone/>
                <wp:docPr id="20" name="椭圆 20"/>
                <wp:cNvGraphicFramePr/>
                <a:graphic xmlns:a="http://schemas.openxmlformats.org/drawingml/2006/main">
                  <a:graphicData uri="http://schemas.microsoft.com/office/word/2010/wordprocessingShape">
                    <wps:wsp>
                      <wps:cNvSpPr/>
                      <wps:spPr>
                        <a:xfrm>
                          <a:off x="0" y="0"/>
                          <a:ext cx="200025" cy="2095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5.6pt;margin-top:5.9pt;height:16.5pt;width:15.75pt;z-index:257455104;v-text-anchor:middle;mso-width-relative:page;mso-height-relative:page;" fillcolor="#ED7D31 [3205]" filled="t" stroked="t" coordsize="21600,21600" o:gfxdata="UEsDBAoAAAAAAIdO4kAAAAAAAAAAAAAAAAAEAAAAZHJzL1BLAwQUAAAACACHTuJAwI+BmdgAAAAL&#10;AQAADwAAAGRycy9kb3ducmV2LnhtbE2PPU/DMBCGdyT+g3VIbNSxqdIS4nSo1AmpahskGJ3YxBHx&#10;OYrdNvx7rhNs9+oevR/lZvYDu9gp9gEViEUGzGIbTI+dgvd697QGFpNGo4eAVsGPjbCp7u9KXZhw&#10;xaO9nFLHyARjoRW4lMaC89g663VchNEi/b7C5HUiOXXcTPpK5n7gMsty7nWPlOD0aLfOtt+ns6eQ&#10;3H3u9x+iburVcTwcXtxu+zYr9fggsldgyc7pD4ZbfaoOFXVqwhlNZANp+SwksXQJ2nAjZC5XwBoF&#10;y+UaeFXy/xuqX1BLAwQUAAAACACHTuJApU+PzmkCAADLBAAADgAAAGRycy9lMm9Eb2MueG1srVTN&#10;bhMxEL4j8Q6W73Q3S0PbKJsqalqEVNFIBXGeeO2sJf9hO9mUB+ApOHLlseA5GHs3TUo5IS7esWf8&#10;jb+Z+XZ6udOKbLkP0pqajk5KSrhhtpFmXdOPH25enVMSIpgGlDW8pg880MvZyxfTzk14ZVurGu4J&#10;gpgw6VxN2xjdpCgCa7mGcGIdN+gU1muIuPXrovHQIbpWRVWWb4rO+sZ5y3gIeLronXSW8YXgLN4J&#10;EXgkqqb4tphXn9dVWovZFCZrD66VbHgG/MMrNEiDSR+hFhCBbLx8BqUl8zZYEU+Y1YUVQjKeOSCb&#10;UfkHm/sWHM9csDjBPZYp/D9Y9n679EQ2Na2wPAY09ujX9x8/v30leIDV6VyYYNC9W/phF9BMVHfC&#10;6/RFEmSXK/rwWFG+i4ThIbaorMaUMHRV5cV4nDGLw2XnQ3zLrSbJqClXSrqQOMMEtrchYk6M3kel&#10;42CVbG6kUnnj16sr5ckWsL/Xi7PF61F6NF55EqYM6XA6q7MSSTLAORMKIpraIfNg1pSAWuMAs+hz&#10;7ie3w3GS+fV4Xo36oBYa3qceI889tSH8+SsSiwWEtr+SU/Tzp2VEESipa3qegPZIyiBIakBf8mSt&#10;bPOADfO2n+Tg2I1E2FsIcQkeRxcJohzjHS5CWWRtB4uS1vovfztP8ThR6KWkQylgRT5vwHNK1DuD&#10;s3YxOj1N2smb0/FZmhR/7Fkde8xGX1nsxgiF71g2U3xUe1N4qz+haucpK7rAMMzd137YXMVeoqh7&#10;xufzHIZ6cRBvzb1jCTx139j5Jloh85QcqjMUDRWTezCoO0nyeJ+jDv+g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j4GZ2AAAAAsBAAAPAAAAAAAAAAEAIAAAACIAAABkcnMvZG93bnJldi54bWxQ&#10;SwECFAAUAAAACACHTuJApU+PzmkCAADLBAAADgAAAAAAAAABACAAAAAnAQAAZHJzL2Uyb0RvYy54&#10;bWxQSwUGAAAAAAYABgBZAQAAAgYAAAAA&#10;">
                <v:fill on="t" focussize="0,0"/>
                <v:stroke weight="1pt" color="#AE5A21 [3205]" miterlimit="8" joinstyle="miter"/>
                <v:imagedata o:title=""/>
                <o:lock v:ext="edit" aspectratio="f"/>
              </v:shape>
            </w:pict>
          </mc:Fallback>
        </mc:AlternateContent>
      </w:r>
    </w:p>
    <w:p>
      <w:pPr>
        <w:rPr>
          <w:sz w:val="24"/>
        </w:rPr>
      </w:pPr>
      <w:r>
        <w:rPr>
          <w:sz w:val="24"/>
        </w:rPr>
        <mc:AlternateContent>
          <mc:Choice Requires="wps">
            <w:drawing>
              <wp:anchor distT="0" distB="0" distL="114300" distR="114300" simplePos="0" relativeHeight="521632768" behindDoc="0" locked="0" layoutInCell="1" allowOverlap="1">
                <wp:simplePos x="0" y="0"/>
                <wp:positionH relativeFrom="column">
                  <wp:posOffset>7808595</wp:posOffset>
                </wp:positionH>
                <wp:positionV relativeFrom="paragraph">
                  <wp:posOffset>113030</wp:posOffset>
                </wp:positionV>
                <wp:extent cx="1012825" cy="287020"/>
                <wp:effectExtent l="0" t="0" r="15875" b="17780"/>
                <wp:wrapNone/>
                <wp:docPr id="40" name="文本框 40"/>
                <wp:cNvGraphicFramePr/>
                <a:graphic xmlns:a="http://schemas.openxmlformats.org/drawingml/2006/main">
                  <a:graphicData uri="http://schemas.microsoft.com/office/word/2010/wordprocessingShape">
                    <wps:wsp>
                      <wps:cNvSpPr txBox="1"/>
                      <wps:spPr>
                        <a:xfrm>
                          <a:off x="0" y="0"/>
                          <a:ext cx="101282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5</w:t>
                            </w:r>
                            <w:r>
                              <w:rPr>
                                <w:rFonts w:hint="default" w:ascii="Times New Roman" w:hAnsi="Times New Roman" w:cs="Times New Roman"/>
                                <w:sz w:val="16"/>
                                <w:szCs w:val="20"/>
                                <w:lang w:val="en-US" w:eastAsia="zh-CN"/>
                              </w:rPr>
                              <w:t>号监测点位</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14.85pt;margin-top:8.9pt;height:22.6pt;width:79.75pt;z-index:521632768;mso-width-relative:page;mso-height-relative:page;" fillcolor="#FFFFFF [3201]" filled="t" stroked="f" coordsize="21600,21600" o:gfxdata="UEsDBAoAAAAAAIdO4kAAAAAAAAAAAAAAAAAEAAAAZHJzL1BLAwQUAAAACACHTuJANkUR4tQAAAAL&#10;AQAADwAAAGRycy9kb3ducmV2LnhtbE2PyU7DMBCG70i8gzVI3KidFHUJcXpA4opEt7MbD3GEPY5i&#10;d316pie4za/59C/16hK8OOGY+kgaiokCgdRG21OnYbv5eFmASNmQNT4SarhiglXz+FCbysYzfeFp&#10;nTvBJpQqo8HlPFRSptZhMGkSByT+fccxmMxy7KQdzZnNg5elUjMZTE+c4MyA7w7bn/UxaNh34bbf&#10;FcPobPCv9Hm7brax1/r5qVBvIDJe8h8M9/pcHRrudIhHskl41mW5nDPL15w33InpYlmCOGiYTRXI&#10;ppb/NzS/UEsDBBQAAAAIAIdO4kBqJZANPAIAAE8EAAAOAAAAZHJzL2Uyb0RvYy54bWytVM2O2jAQ&#10;vlfqO1i+lwQKuxQRVpQVVaVVdyVa9Wwcm1hyPK5tSOgDtG+wp15673PxHB07wNKfU1UOZuz55u+b&#10;mUxv2lqTnXBegSlov5dTIgyHUplNQT+8X74YU+IDMyXTYERB98LTm9nzZ9PGTsQAKtClcASdGD9p&#10;bEGrEOwkyzyvRM18D6wwqJTgahbw6jZZ6ViD3mudDfL8KmvAldYBF97j622npLPkX0rBw72UXgSi&#10;C4q5hXS6dK7jmc2mbLJxzFaKH9Ng/5BFzZTBoGdXtywwsnXqD1e14g48yNDjUGcgpeIi1YDV9PPf&#10;qllVzIpUC5Lj7Zkm///c8ne7B0dUWdAh0mNYjT06PH49fPtx+P6F4BsS1Fg/QdzKIjK0r6HFRp/e&#10;PT7Gulvp6viPFRHUo6/9mV7RBsKjUd4fjAcjSjjqBuPrfJDcZ0/W1vnwRkBNolBQh+1LrLLdnQ+Y&#10;CUJPkBjMg1blUmmdLm6zXmhHdgxbvUy/mCSa/ALThjQFvXo5ypNnA9G+w2mD8FhsV1SUQrtujwys&#10;odwjAQ66GfKWLxVmecd8eGAOhwZrxkUI93hIDRgEjhIlFbjPf3uPeOwlailpcAgL6j9tmROU6LcG&#10;u/yqP4xtCekyHF0jYcRdataXGrOtF4DF93HlLE9ixAd9EqWD+iPuyzxGRRUzHGMXNJzERehWA/eN&#10;i/k8gbbWqU3VGeDMWhbuzMryGCbSbmC+DSBVak+krOPpyCRObWrBccPiWlzeE+rpO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ZFEeLUAAAACwEAAA8AAAAAAAAAAQAgAAAAIgAAAGRycy9kb3du&#10;cmV2LnhtbFBLAQIUABQAAAAIAIdO4kBqJZANPAIAAE8EAAAOAAAAAAAAAAEAIAAAACMBAABkcnMv&#10;ZTJvRG9jLnhtbFBLBQYAAAAABgAGAFkBAADRBQAAAAA=&#10;">
                <v:fill on="t" focussize="0,0"/>
                <v:stroke on="f" weight="0.5pt"/>
                <v:imagedata o:title=""/>
                <o:lock v:ext="edit" aspectratio="f"/>
                <v:textbox>
                  <w:txbxContent>
                    <w:p>
                      <w:pPr>
                        <w:rPr>
                          <w:rFonts w:hint="default" w:ascii="Times New Roman" w:hAnsi="Times New Roman" w:cs="Times New Roman" w:eastAsiaTheme="minorEastAsia"/>
                          <w:sz w:val="16"/>
                          <w:szCs w:val="20"/>
                          <w:lang w:val="en-US" w:eastAsia="zh-CN"/>
                        </w:rPr>
                      </w:pPr>
                      <w:r>
                        <w:rPr>
                          <w:rFonts w:hint="default" w:ascii="Times New Roman" w:hAnsi="Times New Roman" w:cs="Times New Roman"/>
                          <w:sz w:val="16"/>
                          <w:szCs w:val="20"/>
                          <w:lang w:eastAsia="zh-CN"/>
                        </w:rPr>
                        <w:t>土壤</w:t>
                      </w:r>
                      <w:r>
                        <w:rPr>
                          <w:rFonts w:hint="eastAsia" w:ascii="Times New Roman" w:hAnsi="Times New Roman" w:cs="Times New Roman"/>
                          <w:sz w:val="16"/>
                          <w:szCs w:val="20"/>
                          <w:lang w:val="en-US" w:eastAsia="zh-CN"/>
                        </w:rPr>
                        <w:t>5</w:t>
                      </w:r>
                      <w:r>
                        <w:rPr>
                          <w:rFonts w:hint="default" w:ascii="Times New Roman" w:hAnsi="Times New Roman" w:cs="Times New Roman"/>
                          <w:sz w:val="16"/>
                          <w:szCs w:val="20"/>
                          <w:lang w:val="en-US" w:eastAsia="zh-CN"/>
                        </w:rPr>
                        <w:t>号监测点位</w:t>
                      </w:r>
                    </w:p>
                  </w:txbxContent>
                </v:textbox>
              </v:shape>
            </w:pict>
          </mc:Fallback>
        </mc:AlternateContent>
      </w:r>
    </w:p>
    <w:p>
      <w:pPr>
        <w:rPr>
          <w:sz w:val="24"/>
        </w:rPr>
      </w:pPr>
      <w:r>
        <w:rPr>
          <w:sz w:val="24"/>
        </w:rPr>
        <mc:AlternateContent>
          <mc:Choice Requires="wps">
            <w:drawing>
              <wp:anchor distT="0" distB="0" distL="114300" distR="114300" simplePos="0" relativeHeight="251745280" behindDoc="0" locked="0" layoutInCell="1" allowOverlap="1">
                <wp:simplePos x="0" y="0"/>
                <wp:positionH relativeFrom="column">
                  <wp:posOffset>607695</wp:posOffset>
                </wp:positionH>
                <wp:positionV relativeFrom="paragraph">
                  <wp:posOffset>116840</wp:posOffset>
                </wp:positionV>
                <wp:extent cx="438150" cy="686435"/>
                <wp:effectExtent l="4445" t="4445" r="14605" b="13970"/>
                <wp:wrapNone/>
                <wp:docPr id="10" name="文本框 10"/>
                <wp:cNvGraphicFramePr/>
                <a:graphic xmlns:a="http://schemas.openxmlformats.org/drawingml/2006/main">
                  <a:graphicData uri="http://schemas.microsoft.com/office/word/2010/wordprocessingShape">
                    <wps:wsp>
                      <wps:cNvSpPr txBox="1"/>
                      <wps:spPr>
                        <a:xfrm>
                          <a:off x="0" y="0"/>
                          <a:ext cx="438150" cy="68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eastAsia="zh-CN"/>
                              </w:rPr>
                            </w:pPr>
                            <w:r>
                              <w:rPr>
                                <w:rFonts w:hint="eastAsia"/>
                                <w:sz w:val="24"/>
                                <w:szCs w:val="24"/>
                                <w:lang w:eastAsia="zh-CN"/>
                              </w:rPr>
                              <w:t>办</w:t>
                            </w:r>
                          </w:p>
                          <w:p>
                            <w:pPr>
                              <w:jc w:val="center"/>
                              <w:rPr>
                                <w:rFonts w:hint="eastAsia"/>
                                <w:sz w:val="24"/>
                                <w:szCs w:val="24"/>
                                <w:lang w:eastAsia="zh-CN"/>
                              </w:rPr>
                            </w:pPr>
                            <w:r>
                              <w:rPr>
                                <w:rFonts w:hint="eastAsia"/>
                                <w:sz w:val="24"/>
                                <w:szCs w:val="24"/>
                                <w:lang w:eastAsia="zh-CN"/>
                              </w:rPr>
                              <w:t>公</w:t>
                            </w:r>
                          </w:p>
                          <w:p>
                            <w:pPr>
                              <w:jc w:val="center"/>
                              <w:rPr>
                                <w:rFonts w:hint="eastAsia" w:eastAsiaTheme="minorEastAsia"/>
                                <w:sz w:val="24"/>
                                <w:szCs w:val="24"/>
                                <w:lang w:eastAsia="zh-CN"/>
                              </w:rPr>
                            </w:pPr>
                            <w:r>
                              <w:rPr>
                                <w:rFonts w:hint="eastAsia"/>
                                <w:sz w:val="24"/>
                                <w:szCs w:val="24"/>
                                <w:lang w:eastAsia="zh-CN"/>
                              </w:rPr>
                              <w:t>区</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7.85pt;margin-top:9.2pt;height:54.05pt;width:34.5pt;z-index:251745280;mso-width-relative:page;mso-height-relative:page;" fillcolor="#FFFFFF [3201]" filled="t" stroked="t" coordsize="21600,21600" o:gfxdata="UEsDBAoAAAAAAIdO4kAAAAAAAAAAAAAAAAAEAAAAZHJzL1BLAwQUAAAACACHTuJApIOpHdYAAAAJ&#10;AQAADwAAAGRycy9kb3ducmV2LnhtbE2PQU/DMAyF70j8h8hI3Fi6biujNJ0E0iTEja0XblnjtRWJ&#10;UyXZuv17vBPc7Peenj9Xm4uz4owhDp4UzGcZCKTWm4E6Bc1++7QGEZMmo60nVHDFCJv6/q7SpfET&#10;feF5lzrBJRRLraBPaSyljG2PTseZH5HYO/rgdOI1dNIEPXG5szLPskI6PRBf6PWI7z22P7uTU/BR&#10;vKVvbMynWeQLPzWyDUcblXp8mGevIBJe0l8YbviMDjUzHfyJTBRWwcvqmZOsr5cgbn6xZOHAQ16s&#10;QNaV/P9B/QtQSwMEFAAAAAgAh07iQIx1K9RBAgAAdgQAAA4AAABkcnMvZTJvRG9jLnhtbK1UwW4T&#10;MRC9I/EPlu90kzYtJeqmCkVBSBWtVBBnx+vNWng9xnayWz4A/oATF+58V7+DZ2+SFsoJsQfveGb2&#10;zcybmT0771vDNsoHTbbk44MRZ8pKqrRdlfz9u8WzU85CFLYShqwq+a0K/Hz29MlZ56bqkBoylfIM&#10;IDZMO1fyJkY3LYogG9WKcEBOWRhr8q2IuPpVUXnRAb01xeFodFJ05CvnSaoQoH01GPks49e1kvGq&#10;roOKzJQcucV8+nwu01nMzsR05YVrtNymIf4hi1Zoi6B7qFciCrb2+hFUq6WnQHU8kNQWVNdaqlwD&#10;qhmP/qjmphFO5VpATnB7msL/g5VvN9ee6Qq9Az1WtOjR3bevd99/3v34wqADQZ0LU/jdOHjG/iX1&#10;cN7pA5Sp7r72bXqjIgY7sG739Ko+Mgnl5Oh0fAyLhOnk9GRydJxQivuPnQ/xtaKWJaHkHt3LpIrN&#10;ZYiD684lxQpkdLXQxuSLXy0vjGcbgU4v8rNF/83NWNYh+hHyeASRsPcQSyPkx8cIyNZYJJ04GWpP&#10;UuyX/ZaoJVW34MnTMGrByYUG7qUI8Vp4zBYIwL7EKxy1ISRDW4mzhvznv+mTP1oOK2cdZrXk4dNa&#10;eMWZeWMxDC/GkwlgY75Mjp8f4uIfWpYPLXbdXhBIGmMzncxi8o9mJ9ae2g9Yq3mKCpOwErFLHnfi&#10;RRw2CGsp1XyendbO61UzfIDRdiJe2hsnU5hEtKX5OlKtcxsTZQNPWyYx3HkQtouYtufhPXvd/y5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g6kd1gAAAAkBAAAPAAAAAAAAAAEAIAAAACIAAABk&#10;cnMvZG93bnJldi54bWxQSwECFAAUAAAACACHTuJAjHUr1EECAAB2BAAADgAAAAAAAAABACAAAAAl&#10;AQAAZHJzL2Uyb0RvYy54bWxQSwUGAAAAAAYABgBZAQAA2AUAAAAA&#10;">
                <v:fill on="t" focussize="0,0"/>
                <v:stroke weight="0.5pt" color="#000000 [3204]" joinstyle="round"/>
                <v:imagedata o:title=""/>
                <o:lock v:ext="edit" aspectratio="f"/>
                <v:textbox>
                  <w:txbxContent>
                    <w:p>
                      <w:pPr>
                        <w:jc w:val="center"/>
                        <w:rPr>
                          <w:rFonts w:hint="eastAsia"/>
                          <w:sz w:val="24"/>
                          <w:szCs w:val="24"/>
                          <w:lang w:eastAsia="zh-CN"/>
                        </w:rPr>
                      </w:pPr>
                      <w:r>
                        <w:rPr>
                          <w:rFonts w:hint="eastAsia"/>
                          <w:sz w:val="24"/>
                          <w:szCs w:val="24"/>
                          <w:lang w:eastAsia="zh-CN"/>
                        </w:rPr>
                        <w:t>办</w:t>
                      </w:r>
                    </w:p>
                    <w:p>
                      <w:pPr>
                        <w:jc w:val="center"/>
                        <w:rPr>
                          <w:rFonts w:hint="eastAsia"/>
                          <w:sz w:val="24"/>
                          <w:szCs w:val="24"/>
                          <w:lang w:eastAsia="zh-CN"/>
                        </w:rPr>
                      </w:pPr>
                      <w:r>
                        <w:rPr>
                          <w:rFonts w:hint="eastAsia"/>
                          <w:sz w:val="24"/>
                          <w:szCs w:val="24"/>
                          <w:lang w:eastAsia="zh-CN"/>
                        </w:rPr>
                        <w:t>公</w:t>
                      </w:r>
                    </w:p>
                    <w:p>
                      <w:pPr>
                        <w:jc w:val="center"/>
                        <w:rPr>
                          <w:rFonts w:hint="eastAsia" w:eastAsiaTheme="minorEastAsia"/>
                          <w:sz w:val="24"/>
                          <w:szCs w:val="24"/>
                          <w:lang w:eastAsia="zh-CN"/>
                        </w:rPr>
                      </w:pPr>
                      <w:r>
                        <w:rPr>
                          <w:rFonts w:hint="eastAsia"/>
                          <w:sz w:val="24"/>
                          <w:szCs w:val="24"/>
                          <w:lang w:eastAsia="zh-CN"/>
                        </w:rPr>
                        <w:t>区</w:t>
                      </w:r>
                    </w:p>
                  </w:txbxContent>
                </v:textbox>
              </v:shape>
            </w:pict>
          </mc:Fallback>
        </mc:AlternateContent>
      </w:r>
    </w:p>
    <w:p>
      <w:pPr>
        <w:rPr>
          <w:sz w:val="24"/>
        </w:rPr>
      </w:pPr>
    </w:p>
    <w:p>
      <w:pPr>
        <w:rPr>
          <w:sz w:val="24"/>
        </w:rPr>
      </w:pPr>
    </w:p>
    <w:p>
      <w:pPr>
        <w:rPr>
          <w:sz w:val="24"/>
        </w:rPr>
      </w:pPr>
      <w:r>
        <w:rPr>
          <w:sz w:val="24"/>
        </w:rPr>
        <mc:AlternateContent>
          <mc:Choice Requires="wps">
            <w:drawing>
              <wp:anchor distT="0" distB="0" distL="114300" distR="114300" simplePos="0" relativeHeight="252187648" behindDoc="0" locked="0" layoutInCell="1" allowOverlap="1">
                <wp:simplePos x="0" y="0"/>
                <wp:positionH relativeFrom="column">
                  <wp:posOffset>7790180</wp:posOffset>
                </wp:positionH>
                <wp:positionV relativeFrom="paragraph">
                  <wp:posOffset>174625</wp:posOffset>
                </wp:positionV>
                <wp:extent cx="1494790" cy="1210310"/>
                <wp:effectExtent l="0" t="0" r="10160" b="8890"/>
                <wp:wrapNone/>
                <wp:docPr id="15" name="文本框 15"/>
                <wp:cNvGraphicFramePr/>
                <a:graphic xmlns:a="http://schemas.openxmlformats.org/drawingml/2006/main">
                  <a:graphicData uri="http://schemas.microsoft.com/office/word/2010/wordprocessingShape">
                    <wps:wsp>
                      <wps:cNvSpPr txBox="1"/>
                      <wps:spPr>
                        <a:xfrm>
                          <a:off x="9084945" y="4817110"/>
                          <a:ext cx="1494790" cy="1210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图例</w:t>
                            </w:r>
                          </w:p>
                          <w:p/>
                          <w:p>
                            <w:pPr>
                              <w:rPr>
                                <w:rFonts w:hint="eastAsia"/>
                                <w:lang w:val="en-US" w:eastAsia="zh-CN"/>
                              </w:rPr>
                            </w:pPr>
                            <w:r>
                              <w:rPr>
                                <w:rFonts w:hint="eastAsia"/>
                                <w:lang w:val="en-US" w:eastAsia="zh-CN"/>
                              </w:rPr>
                              <w:t xml:space="preserve">     土壤监测点位</w:t>
                            </w:r>
                          </w:p>
                          <w:p>
                            <w:pPr>
                              <w:rPr>
                                <w:rFonts w:hint="eastAsia"/>
                                <w:lang w:val="en-US" w:eastAsia="zh-CN"/>
                              </w:rPr>
                            </w:pPr>
                          </w:p>
                          <w:p>
                            <w:pPr>
                              <w:ind w:firstLine="420" w:firstLineChars="200"/>
                              <w:rPr>
                                <w:rFonts w:hint="default"/>
                                <w:lang w:val="en-US" w:eastAsia="zh-CN"/>
                              </w:rPr>
                            </w:pPr>
                            <w:r>
                              <w:rPr>
                                <w:rFonts w:hint="eastAsia"/>
                                <w:lang w:val="en-US" w:eastAsia="zh-CN"/>
                              </w:rPr>
                              <w:t xml:space="preserve"> 地下水监测点位</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13.4pt;margin-top:13.75pt;height:95.3pt;width:117.7pt;z-index:252187648;mso-width-relative:page;mso-height-relative:page;" fillcolor="#FFFFFF [3201]" filled="t" stroked="f" coordsize="21600,21600" o:gfxdata="UEsDBAoAAAAAAIdO4kAAAAAAAAAAAAAAAAAEAAAAZHJzL1BLAwQUAAAACACHTuJAxO1+KNYAAAAM&#10;AQAADwAAAGRycy9kb3ducmV2LnhtbE2PS0/DMBCE70j8B2uRuFHHVglViNMDEtdKfdCzG5s4wl5H&#10;tvv89WxPcJyd0cy37fISPDvZlMeICsSsAmaxj2bEQcFu+/myAJaLRqN9RKvgajMsu8eHVjcmnnFt&#10;T5syMCrB3GgFrpSp4Tz3zgadZ3GySN53TEEXkmngJukzlQfPZVXVPOgRacHpyX442/9sjkHBfgi3&#10;/ZeYkjPBz3F1u253cVTq+UlU78CKvZS/MNzxCR06YjrEI5rMPGkpa2IvCuTbK7B7Yl5LCexAF7EQ&#10;wLuW/3+i+wVQSwMEFAAAAAgAh07iQGjKvF1HAgAAXAQAAA4AAABkcnMvZTJvRG9jLnhtbK1UzY7a&#10;MBC+V+o7WL6XJCzsAiKsKCuqSqi7Eq16No5DLDke1zYk9AHaN9hTL733uXiOjh3YpT+nqhzMjOfz&#10;/Hwzk+ltWyuyF9ZJ0DnNeiklQnMopN7m9MP75asRJc4zXTAFWuT0IBy9nb18MW3MRPShAlUIS9CJ&#10;dpPG5LTy3kySxPFK1Mz1wAiNxhJszTyqdpsUljXovVZJP02vkwZsYSxw4Rze3nVGOov+y1Jwf1+W&#10;Tniicoq5+XjaeG7CmcymbLK1zFSSn9Jg/5BFzaTGoE+u7phnZGflH65qyS04KH2PQ51AWUouYg1Y&#10;TZb+Vs26YkbEWpAcZ55ocv/PLX+3f7BEFti7ISWa1dij4+PX47cfx+9fCN4hQY1xE8StDSJ9+xpa&#10;BJ/vHV6GutvS1uEfKyJoH6ejwXiAHg85HYyymyw7US1aT3hwgOabMXaEIyLrZ+lVh0ieXRnr/BsB&#10;NQlCTi32MlLM9ivnMS2EniEhsgMli6VUKip2u1koS/YM+76Mv5AxPvkFpjRpcnp9NUyjZw3hfYdT&#10;GuGh8q7CIPl2057o2EBxQDYsdAPlDF9KzHLFnH9gFicIK8Ot8Pd4lAowCJwkSiqwn/92H/DYWLRS&#10;0uBE5tR92jErKFFvNbZ8nA0GYYSjMhje9FGxl5bNpUXv6gVg8Rnun+FRDHivzmJpof6IyzMPUdHE&#10;NMfYOfVnceG7PcHl42I+j6CdsXJbdQ9wgA3zK702PIQJtGuY7zyUMrYnUNbxdGISRzi24LRuYUcu&#10;9Yh6/ijM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7X4o1gAAAAwBAAAPAAAAAAAAAAEAIAAA&#10;ACIAAABkcnMvZG93bnJldi54bWxQSwECFAAUAAAACACHTuJAaMq8XUcCAABcBAAADgAAAAAAAAAB&#10;ACAAAAAlAQAAZHJzL2Uyb0RvYy54bWxQSwUGAAAAAAYABgBZAQAA3gUAAAAA&#10;">
                <v:fill on="t" focussize="0,0"/>
                <v:stroke on="f" weight="0.5pt"/>
                <v:imagedata o:title=""/>
                <o:lock v:ext="edit" aspectratio="f"/>
                <v:textbox>
                  <w:txbxContent>
                    <w:p>
                      <w:pPr>
                        <w:jc w:val="center"/>
                        <w:rPr>
                          <w:rFonts w:hint="eastAsia" w:eastAsiaTheme="minorEastAsia"/>
                          <w:lang w:eastAsia="zh-CN"/>
                        </w:rPr>
                      </w:pPr>
                      <w:r>
                        <w:rPr>
                          <w:rFonts w:hint="eastAsia"/>
                          <w:lang w:eastAsia="zh-CN"/>
                        </w:rPr>
                        <w:t>图例</w:t>
                      </w:r>
                    </w:p>
                    <w:p/>
                    <w:p>
                      <w:pPr>
                        <w:rPr>
                          <w:rFonts w:hint="eastAsia"/>
                          <w:lang w:val="en-US" w:eastAsia="zh-CN"/>
                        </w:rPr>
                      </w:pPr>
                      <w:r>
                        <w:rPr>
                          <w:rFonts w:hint="eastAsia"/>
                          <w:lang w:val="en-US" w:eastAsia="zh-CN"/>
                        </w:rPr>
                        <w:t xml:space="preserve">     土壤监测点位</w:t>
                      </w:r>
                    </w:p>
                    <w:p>
                      <w:pPr>
                        <w:rPr>
                          <w:rFonts w:hint="eastAsia"/>
                          <w:lang w:val="en-US" w:eastAsia="zh-CN"/>
                        </w:rPr>
                      </w:pPr>
                    </w:p>
                    <w:p>
                      <w:pPr>
                        <w:ind w:firstLine="420" w:firstLineChars="200"/>
                        <w:rPr>
                          <w:rFonts w:hint="default"/>
                          <w:lang w:val="en-US" w:eastAsia="zh-CN"/>
                        </w:rPr>
                      </w:pPr>
                      <w:r>
                        <w:rPr>
                          <w:rFonts w:hint="eastAsia"/>
                          <w:lang w:val="en-US" w:eastAsia="zh-CN"/>
                        </w:rPr>
                        <w:t xml:space="preserve"> 地下水监测点位</w:t>
                      </w:r>
                    </w:p>
                  </w:txbxContent>
                </v:textbox>
              </v:shape>
            </w:pict>
          </mc:Fallback>
        </mc:AlternateContent>
      </w:r>
      <w:r>
        <w:rPr>
          <w:sz w:val="24"/>
        </w:rPr>
        <mc:AlternateContent>
          <mc:Choice Requires="wps">
            <w:drawing>
              <wp:anchor distT="0" distB="0" distL="114300" distR="114300" simplePos="0" relativeHeight="252009472" behindDoc="0" locked="0" layoutInCell="1" allowOverlap="1">
                <wp:simplePos x="0" y="0"/>
                <wp:positionH relativeFrom="column">
                  <wp:posOffset>5513070</wp:posOffset>
                </wp:positionH>
                <wp:positionV relativeFrom="paragraph">
                  <wp:posOffset>55880</wp:posOffset>
                </wp:positionV>
                <wp:extent cx="915670" cy="341630"/>
                <wp:effectExtent l="4445" t="4445" r="13335" b="15875"/>
                <wp:wrapNone/>
                <wp:docPr id="12" name="文本框 12"/>
                <wp:cNvGraphicFramePr/>
                <a:graphic xmlns:a="http://schemas.openxmlformats.org/drawingml/2006/main">
                  <a:graphicData uri="http://schemas.microsoft.com/office/word/2010/wordprocessingShape">
                    <wps:wsp>
                      <wps:cNvSpPr txBox="1"/>
                      <wps:spPr>
                        <a:xfrm>
                          <a:off x="0" y="0"/>
                          <a:ext cx="915670"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电子秤</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34.1pt;margin-top:4.4pt;height:26.9pt;width:72.1pt;z-index:252009472;mso-width-relative:page;mso-height-relative:page;" fillcolor="#FFFFFF [3201]" filled="t" stroked="t" coordsize="21600,21600" o:gfxdata="UEsDBAoAAAAAAIdO4kAAAAAAAAAAAAAAAAAEAAAAZHJzL1BLAwQUAAAACACHTuJAwWISVNUAAAAJ&#10;AQAADwAAAGRycy9kb3ducmV2LnhtbE2PzU7DMBCE70i8g7VI3KgdF1lRiFMJJCTEjZILNzfeJhH+&#10;iWy3KW/P9gS3Hc1o9pt2d/GOnTHlOQYN1UYAwzBEO4dRQ//5+lADy8UEa1wMqOEHM+y625vWNDau&#10;4QPP+zIyKgm5MRqmUpaG8zxM6E3exAUDeceYvCkk08htMiuVe8elEIp7Mwf6MJkFXyYcvvcnr+FN&#10;PZcv7O273cptXHs+pKPLWt/fVeIJWMFL+QvDFZ/QoSOmQzwFm5nTUKtaUpQOWnD1RSUfgR00KKmA&#10;dy3/v6D7BVBLAwQUAAAACACHTuJAn59VakUCAAB2BAAADgAAAGRycy9lMm9Eb2MueG1srVTNbhMx&#10;EL4j8Q6W73TzXxp1U4VUQUgRrVQQZ8frzVp4bWM72Q0PQN+AExfuPFefg8/OT1PKCZGDM54ZfzPz&#10;zcxeXrW1IhvhvDQ6p92zDiVCc1NIvcrpxw/zV68p8YHpgimjRU63wtOrycsXl40di56pjCqEIwDR&#10;ftzYnFYh2HGWeV6JmvkzY4WGsTSuZgFXt8oKxxqg1yrrdTqjrDGusM5w4T201zsjnST8shQ83JSl&#10;F4GonCK3kE6XzmU8s8klG68cs5Xk+zTYP2RRM6kR9Ah1zQIjayefQdWSO+NNGc64qTNTlpKLVAOq&#10;6Xb+qOauYlakWkCOt0ea/P+D5e83t47IAr3rUaJZjR49fL9/+PHr4ec3Ah0Iaqwfw+/OwjO0b0wL&#10;54PeQxnrbktXx39URGAH1dsjvaINhEN50R2OzmHhMPUH3VE/0Z89PrbOh7fC1CQKOXXoXiKVbRY+&#10;IBG4HlxiLG+ULOZSqXRxq+VMObJh6PQ8/WKOePLETWnS5HTUH3YS8hNbxD5CLBXjn58jAE9pwEZO&#10;drVHKbTLdk/U0hRb8OTMbtS85XMJ3AXz4ZY5zBYIwL6EGxylMkjG7CVKKuO+/k0f/dFyWClpMKs5&#10;9V/WzAlK1DuNYbjoDgZxuNNlMDzv4eJOLctTi17XMwOSuthMy5MY/YM6iKUz9Ses1TRGhYlpjtg5&#10;DQdxFnYbhLXkYjpNTmvr5KraPcBoWxYW+s7yGCa2R5vpOphSpjZGynY87ZnEcKdW7Rcxbs/pPXk9&#10;fi4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YhJU1QAAAAkBAAAPAAAAAAAAAAEAIAAAACIA&#10;AABkcnMvZG93bnJldi54bWxQSwECFAAUAAAACACHTuJAn59VakUCAAB2BAAADgAAAAAAAAABACAA&#10;AAAkAQAAZHJzL2Uyb0RvYy54bWxQSwUGAAAAAAYABgBZAQAA2wUAAAAA&#10;">
                <v:fill on="t" focussize="0,0"/>
                <v:stroke weight="0.5pt" color="#000000 [3204]" joinstyle="round"/>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电子秤</w:t>
                      </w:r>
                    </w:p>
                  </w:txbxContent>
                </v:textbox>
              </v:shape>
            </w:pict>
          </mc:Fallback>
        </mc:AlternateContent>
      </w:r>
    </w:p>
    <w:p>
      <w:pPr>
        <w:rPr>
          <w:sz w:val="24"/>
        </w:rPr>
      </w:pPr>
    </w:p>
    <w:p>
      <w:pPr>
        <w:rPr>
          <w:sz w:val="24"/>
        </w:rPr>
      </w:pPr>
      <w:r>
        <w:rPr>
          <w:sz w:val="24"/>
        </w:rPr>
        <mc:AlternateContent>
          <mc:Choice Requires="wps">
            <w:drawing>
              <wp:anchor distT="0" distB="0" distL="114300" distR="114300" simplePos="0" relativeHeight="251676672" behindDoc="0" locked="0" layoutInCell="1" allowOverlap="1">
                <wp:simplePos x="0" y="0"/>
                <wp:positionH relativeFrom="column">
                  <wp:posOffset>779145</wp:posOffset>
                </wp:positionH>
                <wp:positionV relativeFrom="paragraph">
                  <wp:posOffset>31115</wp:posOffset>
                </wp:positionV>
                <wp:extent cx="4027805" cy="543560"/>
                <wp:effectExtent l="4445" t="4445" r="6350" b="23495"/>
                <wp:wrapNone/>
                <wp:docPr id="7" name="文本框 7"/>
                <wp:cNvGraphicFramePr/>
                <a:graphic xmlns:a="http://schemas.openxmlformats.org/drawingml/2006/main">
                  <a:graphicData uri="http://schemas.microsoft.com/office/word/2010/wordprocessingShape">
                    <wps:wsp>
                      <wps:cNvSpPr txBox="1"/>
                      <wps:spPr>
                        <a:xfrm>
                          <a:off x="2893695" y="3860165"/>
                          <a:ext cx="4027805" cy="543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eastAsia="zh-CN"/>
                              </w:rPr>
                            </w:pPr>
                            <w:r>
                              <w:rPr>
                                <w:rFonts w:hint="eastAsia"/>
                                <w:sz w:val="24"/>
                                <w:szCs w:val="32"/>
                                <w:lang w:eastAsia="zh-CN"/>
                              </w:rPr>
                              <w:t>办公区</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1.35pt;margin-top:2.45pt;height:42.8pt;width:317.15pt;z-index:251676672;mso-width-relative:page;mso-height-relative:page;" fillcolor="#FFFFFF [3201]" filled="t" stroked="t" coordsize="21600,21600" o:gfxdata="UEsDBAoAAAAAAIdO4kAAAAAAAAAAAAAAAAAEAAAAZHJzL1BLAwQUAAAACACHTuJAfDbaxNUAAAAI&#10;AQAADwAAAGRycy9kb3ducmV2LnhtbE2PwU7DMBBE70j8g7VI3KjdlDY0xKkEEhLiRsmFmxtvkwh7&#10;HdluU/6e5QTH0Yxm3tS7i3fijDGNgTQsFwoEUhfsSL2G9uPl7gFEyoascYFQwzcm2DXXV7WpbJjp&#10;Hc/73AsuoVQZDUPOUyVl6gb0Ji3ChMTeMURvMsvYSxvNzOXeyUKpjfRmJF4YzITPA3Zf+5PX8Lp5&#10;yp/Y2je7KlZhbmUXjy5pfXuzVI8gMl7yXxh+8RkdGmY6hBPZJBzroig5quF+C4L9cl3yt4OGrVqD&#10;bGr5/0DzA1BLAwQUAAAACACHTuJAwjMqYFMCAACBBAAADgAAAGRycy9lMm9Eb2MueG1srVTNjtMw&#10;EL4j8Q6W7zTpT9pu1XRVdlWEtGJXKoiz6ziNheMxttukPAC8AScu3HmuPgdjp90flhMiB2fs+fKN&#10;55uZzC/bWpG9sE6Czmm/l1IiNIdC6m1OP7xfvZpS4jzTBVOgRU4PwtHLxcsX88bMxAAqUIWwBEm0&#10;mzUmp5X3ZpYkjleiZq4HRmh0lmBr5nFrt0lhWYPstUoGaTpOGrCFscCFc3h63TnpIvKXpeD+tiyd&#10;8ETlFO/m42rjuglrspiz2dYyU0l+ugb7h1vUTGoMek91zTwjOyufUdWSW3BQ+h6HOoGylFzEHDCb&#10;fvpHNuuKGRFzQXGcuZfJ/T9a/m5/Z4kscjqhRLMaS3T8/u3449fx51cyCfI0xs0QtTaI8+1raLHM&#10;53OHhyHrtrR1eGM+BP2D6cVwfJFRcsjpcDpO++OsE1q0nnAEjNLBZJoigCMiGw2zcaxE8sBkrPNv&#10;BNQkGDm1WMioL9vfOI+3QugZEgI7ULJYSaXixm43V8qSPcOir+ITwuMnT2BKkyan42GWRuYnvsB9&#10;T7FRjH96zoB8SiNtEKgTIli+3bQn1TZQHFA0C13XOcNXEnlvmPN3zGKbYUPi6PhbXEoFeBk4WZRU&#10;YL/87TzgsfropaTBts2p+7xjVlCi3mrsi4v+aBT6PG5G2WSAG/vYs3ns0bv6ClCkPg6p4dEMeK/O&#10;Zmmh/ogTtgxR0cU0x9g59WfzynfDhBPKxXIZQTtj5bbqPsAuN8zf6LXhIUwoj4blzkMpYxmDZJ1O&#10;JyWxz2OpTjMZBunxPqIe/hy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w22sTVAAAACAEAAA8A&#10;AAAAAAAAAQAgAAAAIgAAAGRycy9kb3ducmV2LnhtbFBLAQIUABQAAAAIAIdO4kDCMypgUwIAAIEE&#10;AAAOAAAAAAAAAAEAIAAAACQBAABkcnMvZTJvRG9jLnhtbFBLBQYAAAAABgAGAFkBAADpBQAAAAA=&#10;">
                <v:fill on="t" focussize="0,0"/>
                <v:stroke weight="0.5pt" color="#000000 [3204]" joinstyle="round"/>
                <v:imagedata o:title=""/>
                <o:lock v:ext="edit" aspectratio="f"/>
                <v:textbox>
                  <w:txbxContent>
                    <w:p>
                      <w:pPr>
                        <w:jc w:val="center"/>
                        <w:rPr>
                          <w:rFonts w:hint="eastAsia"/>
                          <w:sz w:val="24"/>
                          <w:szCs w:val="32"/>
                          <w:lang w:eastAsia="zh-CN"/>
                        </w:rPr>
                      </w:pPr>
                      <w:r>
                        <w:rPr>
                          <w:rFonts w:hint="eastAsia"/>
                          <w:sz w:val="24"/>
                          <w:szCs w:val="32"/>
                          <w:lang w:eastAsia="zh-CN"/>
                        </w:rPr>
                        <w:t>办公区</w:t>
                      </w:r>
                    </w:p>
                  </w:txbxContent>
                </v:textbox>
              </v:shape>
            </w:pict>
          </mc:Fallback>
        </mc:AlternateContent>
      </w:r>
    </w:p>
    <w:p>
      <w:pPr>
        <w:rPr>
          <w:sz w:val="24"/>
        </w:rPr>
      </w:pPr>
      <w:r>
        <w:rPr>
          <w:sz w:val="24"/>
        </w:rPr>
        <mc:AlternateContent>
          <mc:Choice Requires="wps">
            <w:drawing>
              <wp:anchor distT="0" distB="0" distL="114300" distR="114300" simplePos="0" relativeHeight="252717056" behindDoc="0" locked="0" layoutInCell="1" allowOverlap="1">
                <wp:simplePos x="0" y="0"/>
                <wp:positionH relativeFrom="column">
                  <wp:posOffset>7903845</wp:posOffset>
                </wp:positionH>
                <wp:positionV relativeFrom="paragraph">
                  <wp:posOffset>13970</wp:posOffset>
                </wp:positionV>
                <wp:extent cx="200025" cy="209550"/>
                <wp:effectExtent l="6350" t="6350" r="22225" b="12700"/>
                <wp:wrapNone/>
                <wp:docPr id="16" name="椭圆 16"/>
                <wp:cNvGraphicFramePr/>
                <a:graphic xmlns:a="http://schemas.openxmlformats.org/drawingml/2006/main">
                  <a:graphicData uri="http://schemas.microsoft.com/office/word/2010/wordprocessingShape">
                    <wps:wsp>
                      <wps:cNvSpPr/>
                      <wps:spPr>
                        <a:xfrm>
                          <a:off x="0" y="0"/>
                          <a:ext cx="200025" cy="2095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2.35pt;margin-top:1.1pt;height:16.5pt;width:15.75pt;z-index:252717056;v-text-anchor:middle;mso-width-relative:page;mso-height-relative:page;" fillcolor="#ED7D31 [3205]" filled="t" stroked="t" coordsize="21600,21600" o:gfxdata="UEsDBAoAAAAAAIdO4kAAAAAAAAAAAAAAAAAEAAAAZHJzL1BLAwQUAAAACACHTuJAUdeHDdgAAAAK&#10;AQAADwAAAGRycy9kb3ducmV2LnhtbE2PPU/DMBCGdyT+g3VIbNSJKUkb4nSo1AmpahskGJ34iCNi&#10;O4rdNvx7rhNs9+oevR/lZrYDu+AUeu8kpIsEGLrW6951Et7r3dMKWIjKaTV4hxJ+MMCmur8rVaH9&#10;1R3xcoodIxMXCiXBxDgWnIfWoFVh4Ud09Pvyk1WR5NRxPakrmduBiyTJuFW9owSjRtwabL9PZ0sh&#10;mfnc7z/Suqnz43g4rM1u+zZL+fiQJq/AIs7xD4ZbfaoOFXVq/NnpwAbSYrnMiZUgBLAbIPKMrkbC&#10;84sAXpX8/4TqF1BLAwQUAAAACACHTuJA51sp+moCAADLBAAADgAAAGRycy9lMm9Eb2MueG1srVTN&#10;bhMxEL4j8Q6W73STpelP1E0VNS1Cqmilgjg7Xm/Wkv+wnWzKA/AUHHvlseA5+OzdtCnlhLh4Zzzj&#10;mflm5tuz861WZCN8kNZUdHwwokQYbmtpVhX99PHqzQklITJTM2WNqOi9CPR89vrVWeemorStVbXw&#10;BEFMmHauom2MbloUgbdCs3BgnTAwNtZrFqH6VVF71iG6VkU5Gh0VnfW185aLEHC76I10luM3jeDx&#10;pmmCiERVFLXFfPp8LtNZzM7YdOWZayUfymD/UIVm0iDpY6gFi4ysvXwRSkvubbBNPOBWF7ZpJBcZ&#10;A9CMR3+guWuZExkLmhPcY5vC/wvLP2xuPZE1ZndEiWEaM/r18OPn928EF+hO58IUTnfu1g9agJig&#10;bhuv0xcgyDZ39P6xo2IbCcclRjQqJ5RwmMrR6WSSO148PXY+xHfCapKEigqlpAsJM5uyzXWIyAnv&#10;nVe6DlbJ+koqlRW/Wl4oTzYM871cHC/ejlPRePLMTRnSAWF5PMIOcIY9axSLELUD8mBWlDC1wgLz&#10;6HPuZ6/DfpL55WRejnunltWiTz0Bzh20wf1lFQnFgoW2f5JT9PunZQQJlNQVPUmBdpGUQZA0gL7l&#10;SVra+h4D87bf5OD4lUTYaxbiLfNYXQAEHeMNjkZZoLaDRElr/de/3Sd/bBSslHSgAjryZc28oES9&#10;N9i10/HhYeJOVg4nxyUUv29Z7lvMWl9YTGMM4juexeQf1U5svNWfwdp5ygoTMxy5+94PykXsKQre&#10;czGfZzfwxbF4be4cT8HT9I2dr6NtZN6Sp+4MTQNj8gwGdidK7uvZ6+kfNP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deHDdgAAAAKAQAADwAAAAAAAAABACAAAAAiAAAAZHJzL2Rvd25yZXYueG1s&#10;UEsBAhQAFAAAAAgAh07iQOdbKfpqAgAAywQAAA4AAAAAAAAAAQAgAAAAJwEAAGRycy9lMm9Eb2Mu&#10;eG1sUEsFBgAAAAAGAAYAWQEAAAMGAAAAAA==&#10;">
                <v:fill on="t" focussize="0,0"/>
                <v:stroke weight="1pt" color="#AE5A21 [3205]" miterlimit="8" joinstyle="miter"/>
                <v:imagedata o:title=""/>
                <o:lock v:ext="edit" aspectratio="f"/>
              </v:shape>
            </w:pict>
          </mc:Fallback>
        </mc:AlternateContent>
      </w:r>
    </w:p>
    <w:p>
      <w:pPr>
        <w:rPr>
          <w:sz w:val="24"/>
        </w:rPr>
      </w:pPr>
      <w:r>
        <w:rPr>
          <w:sz w:val="24"/>
        </w:rPr>
        <mc:AlternateContent>
          <mc:Choice Requires="wps">
            <w:drawing>
              <wp:anchor distT="0" distB="0" distL="114300" distR="114300" simplePos="0" relativeHeight="252185600" behindDoc="0" locked="0" layoutInCell="1" allowOverlap="1">
                <wp:simplePos x="0" y="0"/>
                <wp:positionH relativeFrom="column">
                  <wp:posOffset>5694045</wp:posOffset>
                </wp:positionH>
                <wp:positionV relativeFrom="paragraph">
                  <wp:posOffset>82550</wp:posOffset>
                </wp:positionV>
                <wp:extent cx="1019175" cy="429260"/>
                <wp:effectExtent l="0" t="0" r="9525" b="8890"/>
                <wp:wrapNone/>
                <wp:docPr id="13" name="文本框 13"/>
                <wp:cNvGraphicFramePr/>
                <a:graphic xmlns:a="http://schemas.openxmlformats.org/drawingml/2006/main">
                  <a:graphicData uri="http://schemas.microsoft.com/office/word/2010/wordprocessingShape">
                    <wps:wsp>
                      <wps:cNvSpPr txBox="1"/>
                      <wps:spPr>
                        <a:xfrm>
                          <a:off x="0" y="0"/>
                          <a:ext cx="1019175" cy="4292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8"/>
                                <w:szCs w:val="36"/>
                                <w:lang w:eastAsia="zh-CN"/>
                              </w:rPr>
                            </w:pPr>
                            <w:r>
                              <w:rPr>
                                <w:rFonts w:hint="eastAsia"/>
                                <w:sz w:val="28"/>
                                <w:szCs w:val="36"/>
                                <w:lang w:eastAsia="zh-CN"/>
                              </w:rPr>
                              <w:t>大门</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8.35pt;margin-top:6.5pt;height:33.8pt;width:80.25pt;z-index:252185600;mso-width-relative:page;mso-height-relative:page;" fillcolor="#FFFFFF [3201]" filled="t" stroked="f" coordsize="21600,21600" o:gfxdata="UEsDBAoAAAAAAIdO4kAAAAAAAAAAAAAAAAAEAAAAZHJzL1BLAwQUAAAACACHTuJA0oWIVNQAAAAK&#10;AQAADwAAAGRycy9kb3ducmV2LnhtbE2Py07DMBBF90j8gzVI7KidAmkJcbpAYovUB1278RBHxOPI&#10;dp9f3+kKlqN7dOfcenHygzhgTH0gDcVEgUBqg+2p07BZfz7NQaRsyJohEGo4Y4JFc39Xm8qGIy3x&#10;sMqd4BJKldHgch4rKVPr0Js0CSMSZz8hepP5jJ200Ry53A9yqlQpvemJPzgz4ofD9ne19xq2nb9s&#10;v4sxOuuHF/q6nNeb0Gv9+FCodxAZT/kPhps+q0PDTruwJ5vEoGH+Vs4Y5eCZN90A9TqbgthxpEqQ&#10;TS3/T2iuUEsDBBQAAAAIAIdO4kDArWNMPAIAAE8EAAAOAAAAZHJzL2Uyb0RvYy54bWytVM2O2jAQ&#10;vlfqO1i+lyQssAURVpQVVSXUXYlWPRvHIZYcj2sbEvoA7Rv01EvvfS6eo2MHWPpzqsrBjD3f/H0z&#10;k+ldWyuyF9ZJ0DnNeiklQnMopN7m9P275YuXlDjPdMEUaJHTg3D0bvb82bQxE9GHClQhLEEn2k0a&#10;k9PKezNJEscrUTPXAyM0KkuwNfN4tduksKxB77VK+mk6ShqwhbHAhXP4et8p6Sz6L0vB/UNZOuGJ&#10;yinm5uNp47kJZzKbssnWMlNJfkqD/UMWNZMag15c3TPPyM7KP1zVkltwUPoehzqBspRcxBqwmiz9&#10;rZp1xYyItSA5zlxocv/PLX+7f7REFti7G0o0q7FHx69fjt9+HL9/JviGBDXGTRC3Noj07StoEXx+&#10;d/gY6m5LW4d/rIigHqk+XOgVrSc8GKXZOLsdUsJRN+iP+6PIf/JkbazzrwXUJAg5tdi+yCrbr5zH&#10;TBB6hoRgDpQsllKpeLHbzUJZsmfY6mX8hSTR5BeY0qTJ6ehmmEbPGoJ9h1Ma4aHYrqgg+XbTnhjY&#10;QHFAAix0M+QMX0rMcsWcf2QWhwZrxkXwD3iUCjAInCRKKrCf/vYe8NhL1FLS4BDm1H3cMSsoUW80&#10;dnmcDQZhauNlMLzt48VeazbXGr2rF4DFZ7hyhkcx4L06i6WF+gPuyzxERRXTHGPn1J/Fhe9WA/eN&#10;i/k8gnbGym3VGeDMGuZXem14CBNo1zDfeShlbE+grOPpxCRObWzBacPCWlzfI+rpO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FiFTUAAAACgEAAA8AAAAAAAAAAQAgAAAAIgAAAGRycy9kb3du&#10;cmV2LnhtbFBLAQIUABQAAAAIAIdO4kDArWNMPAIAAE8EAAAOAAAAAAAAAAEAIAAAACMBAABkcnMv&#10;ZTJvRG9jLnhtbFBLBQYAAAAABgAGAFkBAADRBQAAAAA=&#10;">
                <v:fill on="t" focussize="0,0"/>
                <v:stroke on="f" weight="0.5pt"/>
                <v:imagedata o:title=""/>
                <o:lock v:ext="edit" aspectratio="f"/>
                <v:textbox>
                  <w:txbxContent>
                    <w:p>
                      <w:pPr>
                        <w:jc w:val="center"/>
                        <w:rPr>
                          <w:rFonts w:hint="eastAsia" w:eastAsiaTheme="minorEastAsia"/>
                          <w:sz w:val="28"/>
                          <w:szCs w:val="36"/>
                          <w:lang w:eastAsia="zh-CN"/>
                        </w:rPr>
                      </w:pPr>
                      <w:r>
                        <w:rPr>
                          <w:rFonts w:hint="eastAsia"/>
                          <w:sz w:val="28"/>
                          <w:szCs w:val="36"/>
                          <w:lang w:eastAsia="zh-CN"/>
                        </w:rPr>
                        <w:t>大门</w:t>
                      </w:r>
                    </w:p>
                  </w:txbxContent>
                </v:textbox>
              </v:shape>
            </w:pict>
          </mc:Fallback>
        </mc:AlternateContent>
      </w:r>
    </w:p>
    <w:p>
      <w:pPr>
        <w:rPr>
          <w:sz w:val="24"/>
        </w:rPr>
      </w:pPr>
      <w:r>
        <w:rPr>
          <w:sz w:val="24"/>
        </w:rPr>
        <mc:AlternateContent>
          <mc:Choice Requires="wps">
            <w:drawing>
              <wp:anchor distT="0" distB="0" distL="114300" distR="114300" simplePos="0" relativeHeight="253776896" behindDoc="0" locked="0" layoutInCell="1" allowOverlap="1">
                <wp:simplePos x="0" y="0"/>
                <wp:positionH relativeFrom="column">
                  <wp:posOffset>7913370</wp:posOffset>
                </wp:positionH>
                <wp:positionV relativeFrom="paragraph">
                  <wp:posOffset>27305</wp:posOffset>
                </wp:positionV>
                <wp:extent cx="200025" cy="209550"/>
                <wp:effectExtent l="6350" t="6350" r="22225" b="12700"/>
                <wp:wrapNone/>
                <wp:docPr id="17" name="椭圆 17"/>
                <wp:cNvGraphicFramePr/>
                <a:graphic xmlns:a="http://schemas.openxmlformats.org/drawingml/2006/main">
                  <a:graphicData uri="http://schemas.microsoft.com/office/word/2010/wordprocessingShape">
                    <wps:wsp>
                      <wps:cNvSpPr/>
                      <wps:spPr>
                        <a:xfrm>
                          <a:off x="0" y="0"/>
                          <a:ext cx="200025" cy="209550"/>
                        </a:xfrm>
                        <a:prstGeom prst="ellipse">
                          <a:avLst/>
                        </a:prstGeom>
                        <a:solidFill>
                          <a:srgbClr val="00B050"/>
                        </a:solidFill>
                        <a:ln>
                          <a:solidFill>
                            <a:srgbClr val="00B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3.1pt;margin-top:2.15pt;height:16.5pt;width:15.75pt;z-index:253776896;v-text-anchor:middle;mso-width-relative:page;mso-height-relative:page;" fillcolor="#00B050" filled="t" stroked="t" coordsize="21600,21600" o:gfxdata="UEsDBAoAAAAAAIdO4kAAAAAAAAAAAAAAAAAEAAAAZHJzL1BLAwQUAAAACACHTuJAaPELHNsAAAAK&#10;AQAADwAAAGRycy9kb3ducmV2LnhtbE2PwWrDMBBE74X+g9hCL6WRY4coOJZzCKRQaEPq9pKbIm1t&#10;E2tlLDlO/77KqT0O+5h5W2yutmMXHHzrSMJ8lgBD0s60VEv4+tw9r4D5oMiozhFK+EEPm/L+rlC5&#10;cRN94KUKNYsl5HMloQmhzzn3ukGr/Mz1SPH27QarQoxDzc2gplhuO54myZJb1VJcaFSP2wb1uRqt&#10;hPFp39vX9r06vqzeDrtpr89boaV8fJgna2ABr+EPhpt+VIcyOp3cSMazLuZ0sUwjK2GRAbsBqRAC&#10;2ElCJjLgZcH/v1D+AlBLAwQUAAAACACHTuJAtXEHMVMCAACqBAAADgAAAGRycy9lMm9Eb2MueG1s&#10;rVTNbhMxEL4j8Q6W73Q3UUPbKJsqtCpCqmilgjg7XjtryX/YTjblAXgKjlx5LHgOPnvTNAUOCHFx&#10;ZjyzM/N9/iaz863RZCNCVM42dHRUUyIsd62yq4a+f3f14pSSmJhtmXZWNPReRHo+f/5s1vupGLvO&#10;6VYEgiI2Tnvf0C4lP62qyDthWDxyXlgEpQuGJbhhVbWB9ahudDWu65dV70Lrg+MiRtxeDkE6L/Wl&#10;FDzdSBlFIrqhmC2VM5Rzmc9qPmPTVWC+U3w3BvuHKQxTFk33pS5ZYmQd1G+ljOLBRSfTEXemclIq&#10;LgoGoBnVv6C565gXBQvIiX5PU/x/ZfnbzW0gqsXbnVBimcEb/fj67fuXzwQXYKf3cYqkO38bdl6E&#10;maFuZTD5FyDItjB6v2dUbBPhuMQT1eMJJRyhcX02mRTGq8ePfYjptXCGZKOhQmvlY8bMpmxzHRN6&#10;IvshK19Hp1V7pbQuTlgtL3QgG5bft35V7xs8SdOW9EA4PqmhAc6gM6lZgmk8kEe7ooTpFQTMUyi9&#10;n3wd/65JHvKSxW4YplQY5GVUgsa1Mg09BR+YYUClLcBlfgdGs7V07T3eI7hBqNHzK4Wy1yymWxag&#10;TMyPbUs3OKR2AOV2FiWdC5/+dJ/zIRhEKemhdAD+uGZBUKLfWEjpbHR8nFejOMeTkzGccBhZHkbs&#10;2lw4kD3CXntezJyf9IMpgzMfsJSL3BUhZjl6D9TunIs0bCDWmovFoqRhHTxL1/bO81w8P651i3Vy&#10;UhURPLKzIw0LUbSxW968cYd+yXr8i5n/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jxCxzbAAAA&#10;CgEAAA8AAAAAAAAAAQAgAAAAIgAAAGRycy9kb3ducmV2LnhtbFBLAQIUABQAAAAIAIdO4kC1cQcx&#10;UwIAAKoEAAAOAAAAAAAAAAEAIAAAACoBAABkcnMvZTJvRG9jLnhtbFBLBQYAAAAABgAGAFkBAADv&#10;BQAAAAA=&#10;">
                <v:fill on="t" focussize="0,0"/>
                <v:stroke weight="1pt" color="#00B050 [3205]" miterlimit="8" joinstyle="miter"/>
                <v:imagedata o:title=""/>
                <o:lock v:ext="edit" aspectratio="f"/>
              </v:shape>
            </w:pict>
          </mc:Fallback>
        </mc:AlternateContent>
      </w:r>
    </w:p>
    <w:p>
      <w:pPr>
        <w:rPr>
          <w:sz w:val="24"/>
        </w:rPr>
      </w:pPr>
    </w:p>
    <w:p>
      <w:pPr>
        <w:numPr>
          <w:ilvl w:val="0"/>
          <w:numId w:val="0"/>
        </w:numPr>
        <w:ind w:leftChars="0"/>
        <w:jc w:val="center"/>
        <w:outlineLvl w:val="0"/>
        <w:rPr>
          <w:rFonts w:hint="eastAsia" w:ascii="Times New Roman" w:hAnsi="Times New Roman" w:cs="Times New Roman"/>
          <w:b/>
          <w:bCs/>
          <w:sz w:val="24"/>
          <w:szCs w:val="32"/>
          <w:lang w:val="en-US" w:eastAsia="zh-CN"/>
        </w:rPr>
      </w:pPr>
      <w:bookmarkStart w:id="56" w:name="_Toc27047"/>
      <w:bookmarkStart w:id="57" w:name="_Toc323"/>
      <w:r>
        <w:rPr>
          <w:rFonts w:hint="eastAsia" w:ascii="Times New Roman" w:hAnsi="Times New Roman" w:cs="Times New Roman"/>
          <w:b/>
          <w:bCs/>
          <w:sz w:val="24"/>
          <w:szCs w:val="32"/>
          <w:lang w:val="en-US" w:eastAsia="zh-CN"/>
        </w:rPr>
        <w:t>附图1 厂区平面布置及厂区内监测点位</w:t>
      </w:r>
      <w:bookmarkEnd w:id="56"/>
      <w:bookmarkEnd w:id="57"/>
    </w:p>
    <w:p>
      <w:pPr>
        <w:pStyle w:val="14"/>
        <w:jc w:val="center"/>
        <w:sectPr>
          <w:headerReference r:id="rId13" w:type="default"/>
          <w:footerReference r:id="rId1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4"/>
        <w:jc w:val="center"/>
      </w:pPr>
      <w:r>
        <w:rPr>
          <w:sz w:val="24"/>
        </w:rPr>
        <mc:AlternateContent>
          <mc:Choice Requires="wps">
            <w:drawing>
              <wp:anchor distT="0" distB="0" distL="114300" distR="114300" simplePos="0" relativeHeight="268525568" behindDoc="0" locked="0" layoutInCell="1" allowOverlap="1">
                <wp:simplePos x="0" y="0"/>
                <wp:positionH relativeFrom="column">
                  <wp:posOffset>3058795</wp:posOffset>
                </wp:positionH>
                <wp:positionV relativeFrom="paragraph">
                  <wp:posOffset>1567815</wp:posOffset>
                </wp:positionV>
                <wp:extent cx="874395" cy="268605"/>
                <wp:effectExtent l="67310" t="6350" r="10795" b="258445"/>
                <wp:wrapNone/>
                <wp:docPr id="25" name="矩形标注 25"/>
                <wp:cNvGraphicFramePr/>
                <a:graphic xmlns:a="http://schemas.openxmlformats.org/drawingml/2006/main">
                  <a:graphicData uri="http://schemas.microsoft.com/office/word/2010/wordprocessingShape">
                    <wps:wsp>
                      <wps:cNvSpPr/>
                      <wps:spPr>
                        <a:xfrm>
                          <a:off x="3877945" y="2597785"/>
                          <a:ext cx="874395" cy="268605"/>
                        </a:xfrm>
                        <a:prstGeom prst="wedgeRectCallout">
                          <a:avLst>
                            <a:gd name="adj1" fmla="val -54648"/>
                            <a:gd name="adj2" fmla="val 13342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0.85pt;margin-top:123.45pt;height:21.15pt;width:68.85pt;z-index:268525568;v-text-anchor:middle;mso-width-relative:page;mso-height-relative:page;" fillcolor="#FFFFFF [3212]" filled="t" stroked="t" coordsize="21600,21600" o:gfxdata="UEsDBAoAAAAAAIdO4kAAAAAAAAAAAAAAAAAEAAAAZHJzL1BLAwQUAAAACACHTuJADBHx8doAAAAL&#10;AQAADwAAAGRycy9kb3ducmV2LnhtbE2PsU7DMBCGdyTewTokFtQ6iUJIQpwOIJAYGCh0v8ZubBGf&#10;o9hNWp4eM9Hx7j799/3N5mQHNqvJG0cC0nUCTFHnpKFewNfny6oE5gOSxMGREnBWHjbt9VWDtXQL&#10;fah5G3oWQ8jXKECHMNac+04ri37tRkXxdnCTxRDHqedywiWG24FnSVJwi4biB42jetKq+94erQCz&#10;ey3OFe7u7pcZw7t5eybtf4S4vUmTR2BBncI/DH/6UR3a6LR3R5KeDQLyMn2IqIAsLypgkSjSKge2&#10;j5uyyoC3Db/s0P4CUEsDBBQAAAAIAIdO4kCaxfBTnQIAACMFAAAOAAAAZHJzL2Uyb0RvYy54bWyt&#10;VM1u00AQviPxDqu9t3YcN06iOlWUKgipgoqCOG/Wu7bR/rG7iVNegMcAcYIzZx6H8hrMrt02BQ4I&#10;4cN6xjP+ZuabmT0920uBdsy6VqsSj45TjJiiumpVXeJXL9dHU4ycJ6oiQitW4mvm8Nni8aPTzsxZ&#10;phstKmYRgCg370yJG+/NPEkcbZgk7lgbpsDItZXEg2rrpLKkA3QpkixNJ0mnbWWspsw5+HreG/Ei&#10;4nPOqH/OuWMeiRJDbj6eNp6bcCaLUzKvLTFNS4c0yD9kIUmrIOgd1DnxBG1t+xuUbKnVTnN/TLVM&#10;NOctZbEGqGaU/lLNVUMMi7UAOc7c0eT+Hyx9tru0qK1KnJ1gpIiEHv348OX7t083H9/ffP2M4DNw&#10;1Bk3B9crc2kHzYEYCt5zK8MbSkH7Eo+nRTHLAeo6IM6KYhr/J3O294iCw7TIxzOw0+AwmU7SaE/u&#10;gYx1/gnTEgWhxB2ravYC+rgiQuitjyyT3YXzke5qyJlUb0YYcSmgezsi0NFJPsmnQ3sPnLJDp9F4&#10;nGez4ATxB0yQbjMIAZwWbbVuhYiKrTcrYREEKPE6PsPPD9yEQh3sQlakMHGUwFRzQTyI0gDPTtUY&#10;EVHDulBvYzkP/nZ/FyQkeU5c0ycTEfpqZetho0Qrges0PEOKQkGZoY9954Lk95v90M6Nrq5hEKzu&#10;N8QZum4hwgVx/pJYIBVKgTX3z+HgQkN9epAwarR996fvwR8mFawYdbBiUPvbLbEMI/FUwQzPRnke&#10;djIq+UmRgWIPLZtDi9rKlQbeoc2QXRSDvxe3IrdavobbYBmigokoCrF7lgdl5fvVh/uEsuUyusEe&#10;GuIv1JWhATz0Wenl1mve+jAZgaienUGBTYwDM9waYdUP9eh1f7c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MEfHx2gAAAAsBAAAPAAAAAAAAAAEAIAAAACIAAABkcnMvZG93bnJldi54bWxQSwEC&#10;FAAUAAAACACHTuJAmsXwU50CAAAjBQAADgAAAAAAAAABACAAAAApAQAAZHJzL2Uyb0RvYy54bWxQ&#10;SwUGAAAAAAYABgBZAQAAOAYAAAAA&#10;" adj="-1004,39621">
                <v:fill on="t" focussize="0,0"/>
                <v:stroke weight="1pt" color="#FFFFFF [3212]" miterlimit="8" joinstyle="miter"/>
                <v:imagedata o:title=""/>
                <o:lock v:ext="edit" aspectratio="f"/>
                <v:textbox>
                  <w:txbxContent>
                    <w:p>
                      <w:pPr>
                        <w:jc w:val="both"/>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v:textbox>
              </v:shape>
            </w:pict>
          </mc:Fallback>
        </mc:AlternateContent>
      </w:r>
      <w:r>
        <w:drawing>
          <wp:anchor distT="0" distB="0" distL="114300" distR="114300" simplePos="0" relativeHeight="264314880" behindDoc="0" locked="0" layoutInCell="1" allowOverlap="1">
            <wp:simplePos x="0" y="0"/>
            <wp:positionH relativeFrom="column">
              <wp:posOffset>-77470</wp:posOffset>
            </wp:positionH>
            <wp:positionV relativeFrom="page">
              <wp:posOffset>1174115</wp:posOffset>
            </wp:positionV>
            <wp:extent cx="8860155" cy="4818380"/>
            <wp:effectExtent l="0" t="0" r="17145" b="1270"/>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8860155" cy="4818380"/>
                    </a:xfrm>
                    <a:prstGeom prst="rect">
                      <a:avLst/>
                    </a:prstGeom>
                    <a:noFill/>
                    <a:ln>
                      <a:noFill/>
                    </a:ln>
                  </pic:spPr>
                </pic:pic>
              </a:graphicData>
            </a:graphic>
          </wp:anchor>
        </w:drawing>
      </w:r>
      <w:r>
        <w:rPr>
          <w:rFonts w:hint="eastAsia"/>
          <w:lang w:val="en-US" w:eastAsia="zh-CN"/>
        </w:rPr>
        <w:drawing>
          <wp:anchor distT="0" distB="0" distL="114300" distR="114300" simplePos="0" relativeHeight="268524544" behindDoc="0" locked="0" layoutInCell="1" allowOverlap="1">
            <wp:simplePos x="0" y="0"/>
            <wp:positionH relativeFrom="column">
              <wp:posOffset>8181340</wp:posOffset>
            </wp:positionH>
            <wp:positionV relativeFrom="paragraph">
              <wp:posOffset>72390</wp:posOffset>
            </wp:positionV>
            <wp:extent cx="581025" cy="733425"/>
            <wp:effectExtent l="0" t="0" r="9525" b="9525"/>
            <wp:wrapNone/>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18"/>
                    <a:stretch>
                      <a:fillRect/>
                    </a:stretch>
                  </pic:blipFill>
                  <pic:spPr>
                    <a:xfrm>
                      <a:off x="0" y="0"/>
                      <a:ext cx="581025" cy="733425"/>
                    </a:xfrm>
                    <a:prstGeom prst="rect">
                      <a:avLst/>
                    </a:prstGeom>
                  </pic:spPr>
                </pic:pic>
              </a:graphicData>
            </a:graphic>
          </wp:anchor>
        </w:drawing>
      </w:r>
    </w:p>
    <w:p>
      <w:pPr>
        <w:numPr>
          <w:ilvl w:val="0"/>
          <w:numId w:val="0"/>
        </w:numPr>
        <w:ind w:leftChars="0"/>
        <w:jc w:val="center"/>
        <w:outlineLvl w:val="0"/>
        <w:rPr>
          <w:rFonts w:hint="eastAsia" w:ascii="Times New Roman" w:hAnsi="Times New Roman" w:cs="Times New Roman"/>
          <w:b/>
          <w:bCs/>
          <w:sz w:val="24"/>
          <w:szCs w:val="32"/>
          <w:lang w:val="en-US" w:eastAsia="zh-CN"/>
        </w:rPr>
        <w:sectPr>
          <w:headerReference r:id="rId1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8" w:name="_Toc25680"/>
      <w:r>
        <w:rPr>
          <w:rFonts w:hint="eastAsia" w:ascii="Times New Roman" w:hAnsi="Times New Roman" w:cs="Times New Roman"/>
          <w:b/>
          <w:bCs/>
          <w:sz w:val="24"/>
          <w:szCs w:val="32"/>
          <w:lang w:val="en-US" w:eastAsia="zh-CN"/>
        </w:rPr>
        <w:t>附图2 本项目地理位置图</w:t>
      </w:r>
      <w:bookmarkEnd w:id="58"/>
    </w:p>
    <w:p>
      <w:pPr>
        <w:pStyle w:val="14"/>
        <w:rPr>
          <w:rFonts w:hint="default" w:ascii="Times New Roman" w:hAnsi="Times New Roman" w:cs="Times New Roman" w:eastAsiaTheme="minorEastAsia"/>
          <w:b/>
          <w:bCs/>
          <w:color w:val="auto"/>
          <w:kern w:val="2"/>
          <w:sz w:val="24"/>
          <w:szCs w:val="32"/>
          <w:lang w:val="en-US" w:eastAsia="zh-CN" w:bidi="ar-SA"/>
        </w:rPr>
      </w:pPr>
      <w:r>
        <w:rPr>
          <w:rFonts w:hint="eastAsia" w:eastAsia="宋体"/>
          <w:lang w:eastAsia="zh-CN"/>
        </w:rPr>
        <w:drawing>
          <wp:anchor distT="0" distB="0" distL="114300" distR="114300" simplePos="0" relativeHeight="268526592" behindDoc="0" locked="0" layoutInCell="1" allowOverlap="1">
            <wp:simplePos x="0" y="0"/>
            <wp:positionH relativeFrom="column">
              <wp:posOffset>-313055</wp:posOffset>
            </wp:positionH>
            <wp:positionV relativeFrom="page">
              <wp:posOffset>1247775</wp:posOffset>
            </wp:positionV>
            <wp:extent cx="2879725" cy="3599815"/>
            <wp:effectExtent l="0" t="0" r="15875" b="635"/>
            <wp:wrapSquare wrapText="bothSides"/>
            <wp:docPr id="30" name="图片 30" descr="49ee2440a6e31539d28e482cd67f0f8"/>
            <wp:cNvGraphicFramePr/>
            <a:graphic xmlns:a="http://schemas.openxmlformats.org/drawingml/2006/main">
              <a:graphicData uri="http://schemas.openxmlformats.org/drawingml/2006/picture">
                <pic:pic xmlns:pic="http://schemas.openxmlformats.org/drawingml/2006/picture">
                  <pic:nvPicPr>
                    <pic:cNvPr id="30" name="图片 30" descr="49ee2440a6e31539d28e482cd67f0f8"/>
                    <pic:cNvPicPr/>
                  </pic:nvPicPr>
                  <pic:blipFill>
                    <a:blip r:embed="rId20"/>
                    <a:stretch>
                      <a:fillRect/>
                    </a:stretch>
                  </pic:blipFill>
                  <pic:spPr>
                    <a:xfrm>
                      <a:off x="0" y="0"/>
                      <a:ext cx="2879725" cy="3599815"/>
                    </a:xfrm>
                    <a:prstGeom prst="rect">
                      <a:avLst/>
                    </a:prstGeom>
                  </pic:spPr>
                </pic:pic>
              </a:graphicData>
            </a:graphic>
          </wp:anchor>
        </w:drawing>
      </w:r>
      <w:r>
        <w:rPr>
          <w:rFonts w:hint="eastAsia" w:ascii="Times New Roman" w:hAnsi="Times New Roman" w:cs="Times New Roman" w:eastAsiaTheme="minorEastAsia"/>
          <w:b/>
          <w:bCs/>
          <w:color w:val="auto"/>
          <w:kern w:val="2"/>
          <w:sz w:val="24"/>
          <w:szCs w:val="32"/>
          <w:lang w:val="en-US" w:eastAsia="zh-CN" w:bidi="ar-SA"/>
        </w:rPr>
        <w:t xml:space="preserve">附图3 </w:t>
      </w:r>
      <w:r>
        <w:rPr>
          <w:rFonts w:hint="eastAsia" w:ascii="Times New Roman" w:cs="Times New Roman" w:eastAsiaTheme="minorEastAsia"/>
          <w:b/>
          <w:bCs/>
          <w:color w:val="auto"/>
          <w:kern w:val="2"/>
          <w:sz w:val="24"/>
          <w:szCs w:val="32"/>
          <w:lang w:val="en-US" w:eastAsia="zh-CN" w:bidi="ar-SA"/>
        </w:rPr>
        <w:t xml:space="preserve"> </w:t>
      </w:r>
      <w:r>
        <w:rPr>
          <w:rFonts w:hint="eastAsia" w:ascii="Times New Roman" w:hAnsi="Times New Roman" w:cs="Times New Roman" w:eastAsiaTheme="minorEastAsia"/>
          <w:b/>
          <w:bCs/>
          <w:color w:val="auto"/>
          <w:kern w:val="2"/>
          <w:sz w:val="24"/>
          <w:szCs w:val="32"/>
          <w:lang w:val="en-US" w:eastAsia="zh-CN" w:bidi="ar-SA"/>
        </w:rPr>
        <w:t>监测照片</w:t>
      </w:r>
    </w:p>
    <w:p>
      <w:pPr>
        <w:pStyle w:val="14"/>
        <w:rPr>
          <w:rFonts w:hint="eastAsia" w:eastAsia="宋体"/>
          <w:lang w:eastAsia="zh-CN"/>
        </w:rPr>
      </w:pPr>
      <w:r>
        <w:rPr>
          <w:rFonts w:hint="eastAsia" w:eastAsia="宋体"/>
          <w:lang w:eastAsia="zh-CN"/>
        </w:rPr>
        <w:drawing>
          <wp:anchor distT="0" distB="0" distL="114300" distR="114300" simplePos="0" relativeHeight="268527616" behindDoc="1" locked="0" layoutInCell="1" allowOverlap="1">
            <wp:simplePos x="0" y="0"/>
            <wp:positionH relativeFrom="column">
              <wp:posOffset>355600</wp:posOffset>
            </wp:positionH>
            <wp:positionV relativeFrom="page">
              <wp:posOffset>1256665</wp:posOffset>
            </wp:positionV>
            <wp:extent cx="2879725" cy="3599815"/>
            <wp:effectExtent l="0" t="0" r="15875" b="38735"/>
            <wp:wrapTight wrapText="bothSides">
              <wp:wrapPolygon>
                <wp:start x="0" y="0"/>
                <wp:lineTo x="0" y="21490"/>
                <wp:lineTo x="21433" y="21490"/>
                <wp:lineTo x="21433" y="0"/>
                <wp:lineTo x="0" y="0"/>
              </wp:wrapPolygon>
            </wp:wrapTight>
            <wp:docPr id="29" name="图片 29" descr="cc69713ac338af60048680995aa5854"/>
            <wp:cNvGraphicFramePr/>
            <a:graphic xmlns:a="http://schemas.openxmlformats.org/drawingml/2006/main">
              <a:graphicData uri="http://schemas.openxmlformats.org/drawingml/2006/picture">
                <pic:pic xmlns:pic="http://schemas.openxmlformats.org/drawingml/2006/picture">
                  <pic:nvPicPr>
                    <pic:cNvPr id="29" name="图片 29" descr="cc69713ac338af60048680995aa5854"/>
                    <pic:cNvPicPr/>
                  </pic:nvPicPr>
                  <pic:blipFill>
                    <a:blip r:embed="rId21"/>
                    <a:stretch>
                      <a:fillRect/>
                    </a:stretch>
                  </pic:blipFill>
                  <pic:spPr>
                    <a:xfrm>
                      <a:off x="0" y="0"/>
                      <a:ext cx="2879725" cy="3599815"/>
                    </a:xfrm>
                    <a:prstGeom prst="rect">
                      <a:avLst/>
                    </a:prstGeom>
                  </pic:spPr>
                </pic:pic>
              </a:graphicData>
            </a:graphic>
          </wp:anchor>
        </w:drawing>
      </w:r>
    </w:p>
    <w:p>
      <w:pPr>
        <w:pStyle w:val="14"/>
      </w:pPr>
    </w:p>
    <w:p>
      <w:pPr>
        <w:pStyle w:val="14"/>
        <w:rPr>
          <w:rFonts w:hint="default"/>
          <w:lang w:val="en-US" w:eastAsia="zh-CN"/>
        </w:rPr>
      </w:pPr>
      <w:r>
        <w:rPr>
          <w:rFonts w:hint="eastAsia" w:eastAsia="宋体"/>
          <w:lang w:eastAsia="zh-CN"/>
        </w:rPr>
        <w:drawing>
          <wp:anchor distT="0" distB="0" distL="114300" distR="114300" simplePos="0" relativeHeight="268529664" behindDoc="0" locked="0" layoutInCell="1" allowOverlap="1">
            <wp:simplePos x="0" y="0"/>
            <wp:positionH relativeFrom="column">
              <wp:posOffset>350520</wp:posOffset>
            </wp:positionH>
            <wp:positionV relativeFrom="page">
              <wp:posOffset>5761990</wp:posOffset>
            </wp:positionV>
            <wp:extent cx="2879725" cy="3599815"/>
            <wp:effectExtent l="0" t="0" r="15875" b="635"/>
            <wp:wrapTopAndBottom/>
            <wp:docPr id="27" name="图片 27" descr="f71d40d2a795a1ba689434858a5888f"/>
            <wp:cNvGraphicFramePr/>
            <a:graphic xmlns:a="http://schemas.openxmlformats.org/drawingml/2006/main">
              <a:graphicData uri="http://schemas.openxmlformats.org/drawingml/2006/picture">
                <pic:pic xmlns:pic="http://schemas.openxmlformats.org/drawingml/2006/picture">
                  <pic:nvPicPr>
                    <pic:cNvPr id="27" name="图片 27" descr="f71d40d2a795a1ba689434858a5888f"/>
                    <pic:cNvPicPr/>
                  </pic:nvPicPr>
                  <pic:blipFill>
                    <a:blip r:embed="rId22"/>
                    <a:stretch>
                      <a:fillRect/>
                    </a:stretch>
                  </pic:blipFill>
                  <pic:spPr>
                    <a:xfrm>
                      <a:off x="0" y="0"/>
                      <a:ext cx="2879725" cy="3599815"/>
                    </a:xfrm>
                    <a:prstGeom prst="rect">
                      <a:avLst/>
                    </a:prstGeom>
                  </pic:spPr>
                </pic:pic>
              </a:graphicData>
            </a:graphic>
          </wp:anchor>
        </w:drawing>
      </w:r>
      <w:r>
        <w:rPr>
          <w:rFonts w:hint="eastAsia" w:eastAsia="宋体"/>
          <w:lang w:eastAsia="zh-CN"/>
        </w:rPr>
        <w:drawing>
          <wp:anchor distT="0" distB="0" distL="114300" distR="114300" simplePos="0" relativeHeight="268528640" behindDoc="0" locked="0" layoutInCell="1" allowOverlap="1">
            <wp:simplePos x="0" y="0"/>
            <wp:positionH relativeFrom="column">
              <wp:posOffset>-3017520</wp:posOffset>
            </wp:positionH>
            <wp:positionV relativeFrom="page">
              <wp:posOffset>5781040</wp:posOffset>
            </wp:positionV>
            <wp:extent cx="2879725" cy="3599815"/>
            <wp:effectExtent l="0" t="0" r="15875" b="635"/>
            <wp:wrapTopAndBottom/>
            <wp:docPr id="28" name="图片 28" descr="d2990752a7410bd93ca389b427f184e"/>
            <wp:cNvGraphicFramePr/>
            <a:graphic xmlns:a="http://schemas.openxmlformats.org/drawingml/2006/main">
              <a:graphicData uri="http://schemas.openxmlformats.org/drawingml/2006/picture">
                <pic:pic xmlns:pic="http://schemas.openxmlformats.org/drawingml/2006/picture">
                  <pic:nvPicPr>
                    <pic:cNvPr id="28" name="图片 28" descr="d2990752a7410bd93ca389b427f184e"/>
                    <pic:cNvPicPr/>
                  </pic:nvPicPr>
                  <pic:blipFill>
                    <a:blip r:embed="rId23"/>
                    <a:stretch>
                      <a:fillRect/>
                    </a:stretch>
                  </pic:blipFill>
                  <pic:spPr>
                    <a:xfrm>
                      <a:off x="0" y="0"/>
                      <a:ext cx="2879725" cy="3599815"/>
                    </a:xfrm>
                    <a:prstGeom prst="rect">
                      <a:avLst/>
                    </a:prstGeom>
                  </pic:spPr>
                </pic:pic>
              </a:graphicData>
            </a:graphic>
          </wp:anchor>
        </w:drawing>
      </w:r>
    </w:p>
    <w:sectPr>
      <w:head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default"/>
        <w:u w:val="none"/>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default"/>
        <w:u w:val="none"/>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default"/>
        <w:u w:val="none"/>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default"/>
        <w:u w:val="none"/>
        <w:lang w:val="en-US"/>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u w:val="none"/>
        <w:lang w:val="en-US"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u w:val="non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r>
      <w:rPr>
        <w:rFonts w:hint="eastAsia" w:ascii="宋体" w:hAnsi="宋体"/>
        <w:szCs w:val="21"/>
        <w:u w:val="non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rPr>
        <w:rFonts w:hint="eastAsia" w:eastAsiaTheme="minorEastAsia"/>
        <w:lang w:val="en-US" w:eastAsia="zh-CN"/>
      </w:rPr>
    </w:pPr>
    <w:r>
      <w:rPr>
        <w:rFonts w:hint="eastAsia"/>
        <w:lang w:val="en-US" w:eastAsia="zh-CN"/>
      </w:rPr>
      <w:t>长春市报废汽车回收中心有限公司土壤环境自行监测报告</w:t>
    </w:r>
  </w:p>
  <w:p>
    <w:pPr>
      <w:pStyle w:val="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p>
  <w:p>
    <w:pPr>
      <w:pStyle w:val="6"/>
      <w:pBdr>
        <w:bottom w:val="none" w:color="auto" w:sz="0" w:space="0"/>
      </w:pBdr>
      <w:jc w:val="center"/>
      <w:rPr>
        <w:rFonts w:hint="eastAsia" w:eastAsiaTheme="minorEastAsia"/>
        <w:lang w:val="en-US" w:eastAsia="zh-CN"/>
      </w:rPr>
    </w:pPr>
    <w:r>
      <w:rPr>
        <w:rFonts w:hint="eastAsia"/>
        <w:lang w:val="en-US" w:eastAsia="zh-CN"/>
      </w:rPr>
      <w:t>长春市报废汽车回收中心有限公司土壤环境自行监测报告</w:t>
    </w:r>
  </w:p>
  <w:p>
    <w:pPr>
      <w:pStyle w:val="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rPr>
        <w:rFonts w:hint="eastAsia" w:eastAsiaTheme="minorEastAsia"/>
        <w:lang w:val="en-US" w:eastAsia="zh-CN"/>
      </w:rPr>
    </w:pPr>
    <w:r>
      <w:rPr>
        <w:rFonts w:hint="eastAsia"/>
        <w:lang w:val="en-US" w:eastAsia="zh-CN"/>
      </w:rPr>
      <w:t>长春市报废汽车回收中心有限公司土壤环境自行监测报告</w:t>
    </w:r>
  </w:p>
  <w:p>
    <w:pPr>
      <w:pStyle w:val="6"/>
      <w:pBdr>
        <w:bottom w:val="none" w:color="auto" w:sz="0" w:space="0"/>
      </w:pBdr>
    </w:pPr>
  </w:p>
  <w:p>
    <w:pPr>
      <w:pStyle w:val="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rPr>
        <w:rFonts w:hint="eastAsia" w:eastAsiaTheme="minorEastAsia"/>
        <w:lang w:val="en-US" w:eastAsia="zh-CN"/>
      </w:rPr>
    </w:pPr>
    <w:r>
      <w:rPr>
        <w:rFonts w:hint="eastAsia"/>
        <w:lang w:val="en-US" w:eastAsia="zh-CN"/>
      </w:rPr>
      <w:t>长春市报废汽车回收中心有限公司土壤环境自行监测报告</w:t>
    </w:r>
  </w:p>
  <w:p>
    <w:pPr>
      <w:pStyle w:val="6"/>
      <w:pBdr>
        <w:bottom w:val="none" w:color="auto" w:sz="0" w:space="0"/>
      </w:pBdr>
    </w:pPr>
  </w:p>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9AF25C"/>
    <w:multiLevelType w:val="singleLevel"/>
    <w:tmpl w:val="889AF25C"/>
    <w:lvl w:ilvl="0" w:tentative="0">
      <w:start w:val="2"/>
      <w:numFmt w:val="decimal"/>
      <w:suff w:val="nothing"/>
      <w:lvlText w:val="%1、"/>
      <w:lvlJc w:val="left"/>
    </w:lvl>
  </w:abstractNum>
  <w:abstractNum w:abstractNumId="1">
    <w:nsid w:val="A754FC79"/>
    <w:multiLevelType w:val="singleLevel"/>
    <w:tmpl w:val="A754FC79"/>
    <w:lvl w:ilvl="0" w:tentative="0">
      <w:start w:val="6"/>
      <w:numFmt w:val="chineseCounting"/>
      <w:suff w:val="nothing"/>
      <w:lvlText w:val="%1、"/>
      <w:lvlJc w:val="left"/>
      <w:rPr>
        <w:rFonts w:hint="eastAsia"/>
      </w:rPr>
    </w:lvl>
  </w:abstractNum>
  <w:abstractNum w:abstractNumId="2">
    <w:nsid w:val="039D6660"/>
    <w:multiLevelType w:val="singleLevel"/>
    <w:tmpl w:val="039D6660"/>
    <w:lvl w:ilvl="0" w:tentative="0">
      <w:start w:val="1"/>
      <w:numFmt w:val="decimal"/>
      <w:suff w:val="nothing"/>
      <w:lvlText w:val="（%1）"/>
      <w:lvlJc w:val="left"/>
    </w:lvl>
  </w:abstractNum>
  <w:abstractNum w:abstractNumId="3">
    <w:nsid w:val="471DB174"/>
    <w:multiLevelType w:val="singleLevel"/>
    <w:tmpl w:val="471DB174"/>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5D6A70"/>
    <w:rsid w:val="04160AB1"/>
    <w:rsid w:val="04A550F1"/>
    <w:rsid w:val="057F2C79"/>
    <w:rsid w:val="06C22CAC"/>
    <w:rsid w:val="08D62DF9"/>
    <w:rsid w:val="09933342"/>
    <w:rsid w:val="123903C9"/>
    <w:rsid w:val="16FF0F4C"/>
    <w:rsid w:val="1C5751B4"/>
    <w:rsid w:val="1EF00EA8"/>
    <w:rsid w:val="2C01222A"/>
    <w:rsid w:val="2EBE6807"/>
    <w:rsid w:val="463A523C"/>
    <w:rsid w:val="47CC441A"/>
    <w:rsid w:val="48CB389A"/>
    <w:rsid w:val="526933CD"/>
    <w:rsid w:val="539D1E4E"/>
    <w:rsid w:val="587F55DD"/>
    <w:rsid w:val="5ACE3999"/>
    <w:rsid w:val="60EA2413"/>
    <w:rsid w:val="6F8032C4"/>
    <w:rsid w:val="755D6A70"/>
    <w:rsid w:val="78DF3E33"/>
    <w:rsid w:val="7AED2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qFormat/>
    <w:uiPriority w:val="0"/>
    <w:rPr>
      <w:color w:val="800080"/>
      <w:u w:val="none"/>
    </w:rPr>
  </w:style>
  <w:style w:type="character" w:styleId="13">
    <w:name w:val="Hyperlink"/>
    <w:basedOn w:val="11"/>
    <w:qFormat/>
    <w:uiPriority w:val="0"/>
    <w:rPr>
      <w:color w:val="0000FF"/>
      <w:u w:val="none"/>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5">
    <w:name w:val="current"/>
    <w:basedOn w:val="11"/>
    <w:qFormat/>
    <w:uiPriority w:val="0"/>
    <w:rPr>
      <w:b/>
      <w:color w:val="FFFFFF"/>
      <w:bdr w:val="single" w:color="0862B8" w:sz="6" w:space="0"/>
      <w:shd w:val="clear" w:fill="0862B8"/>
    </w:rPr>
  </w:style>
  <w:style w:type="character" w:customStyle="1" w:styleId="16">
    <w:name w:val="disabled"/>
    <w:basedOn w:val="11"/>
    <w:qFormat/>
    <w:uiPriority w:val="0"/>
    <w:rPr>
      <w:color w:val="BABABA"/>
      <w:bdr w:val="single" w:color="BABABA" w:sz="6" w:space="0"/>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2019-10-28T05:50:00Z</dcterms:created>
  <dc:creator>Administrator</dc:creator>
  <cp:lastModifiedBy>Administrator</cp:lastModifiedBy>
  <dcterms:modified xsi:type="dcterms:W3CDTF">2019-11-12T08:45:32Z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